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C14980" w14:textId="4E1068F9" w:rsidR="00A729F5" w:rsidRPr="00DA12F7" w:rsidRDefault="00A729F5" w:rsidP="00A729F5">
      <w:pPr>
        <w:tabs>
          <w:tab w:val="right" w:pos="9630"/>
        </w:tabs>
        <w:spacing w:after="0"/>
      </w:pPr>
      <w:r w:rsidRPr="00DA12F7">
        <w:rPr>
          <w:rFonts w:ascii="Arial" w:hAnsi="Arial" w:cs="Arial"/>
          <w:b/>
          <w:sz w:val="24"/>
        </w:rPr>
        <w:t xml:space="preserve">3GPP TSG RAN WG1 </w:t>
      </w:r>
      <w:r w:rsidR="00FA5DF2">
        <w:rPr>
          <w:rFonts w:ascii="Arial" w:hAnsi="Arial" w:cs="Arial"/>
          <w:b/>
          <w:sz w:val="24"/>
        </w:rPr>
        <w:t xml:space="preserve">Meeting </w:t>
      </w:r>
      <w:r w:rsidR="00FF00B6">
        <w:rPr>
          <w:rFonts w:ascii="Arial" w:hAnsi="Arial" w:cs="Arial"/>
          <w:b/>
          <w:sz w:val="24"/>
        </w:rPr>
        <w:t>#9</w:t>
      </w:r>
      <w:r w:rsidR="005D1A65">
        <w:rPr>
          <w:rFonts w:ascii="Arial" w:hAnsi="Arial" w:cs="Arial"/>
          <w:b/>
          <w:sz w:val="24"/>
        </w:rPr>
        <w:t>1</w:t>
      </w:r>
      <w:r w:rsidRPr="00DA12F7">
        <w:rPr>
          <w:rFonts w:ascii="Arial" w:hAnsi="Arial" w:cs="Arial"/>
          <w:b/>
          <w:sz w:val="24"/>
        </w:rPr>
        <w:tab/>
        <w:t>R1-</w:t>
      </w:r>
      <w:r w:rsidR="00A2322E" w:rsidRPr="00A2322E">
        <w:rPr>
          <w:rFonts w:ascii="Arial" w:hAnsi="Arial" w:cs="Arial"/>
          <w:b/>
          <w:sz w:val="24"/>
        </w:rPr>
        <w:t>1720694</w:t>
      </w:r>
    </w:p>
    <w:p w14:paraId="4CBABC28" w14:textId="723086AC" w:rsidR="00FA5DF2" w:rsidRPr="00FA5DF2" w:rsidRDefault="00CD37A5" w:rsidP="00FA5DF2">
      <w:pPr>
        <w:tabs>
          <w:tab w:val="right" w:pos="9630"/>
        </w:tabs>
        <w:spacing w:after="0"/>
        <w:rPr>
          <w:rFonts w:ascii="Arial" w:hAnsi="Arial" w:cs="Arial"/>
          <w:b/>
          <w:sz w:val="24"/>
          <w:szCs w:val="24"/>
        </w:rPr>
      </w:pPr>
      <w:r w:rsidRPr="00FA5DF2">
        <w:rPr>
          <w:rFonts w:ascii="Arial" w:hAnsi="Arial" w:cs="Arial"/>
          <w:b/>
          <w:sz w:val="24"/>
          <w:szCs w:val="24"/>
        </w:rPr>
        <w:t xml:space="preserve">Reno, </w:t>
      </w:r>
      <w:r w:rsidR="00A2322E">
        <w:rPr>
          <w:rFonts w:ascii="Arial" w:hAnsi="Arial" w:cs="Arial"/>
          <w:b/>
          <w:sz w:val="24"/>
          <w:szCs w:val="24"/>
        </w:rPr>
        <w:t xml:space="preserve">NV, </w:t>
      </w:r>
      <w:r w:rsidRPr="00FA5DF2">
        <w:rPr>
          <w:rFonts w:ascii="Arial" w:hAnsi="Arial" w:cs="Arial"/>
          <w:b/>
          <w:sz w:val="24"/>
          <w:szCs w:val="24"/>
        </w:rPr>
        <w:t>USA</w:t>
      </w:r>
      <w:r>
        <w:rPr>
          <w:rFonts w:ascii="Arial" w:hAnsi="Arial" w:cs="Arial"/>
          <w:b/>
          <w:sz w:val="24"/>
          <w:szCs w:val="24"/>
        </w:rPr>
        <w:t>,</w:t>
      </w:r>
      <w:r w:rsidRPr="00FA5DF2">
        <w:rPr>
          <w:rFonts w:ascii="Arial" w:hAnsi="Arial" w:cs="Arial"/>
          <w:b/>
          <w:sz w:val="24"/>
          <w:szCs w:val="24"/>
        </w:rPr>
        <w:t xml:space="preserve"> </w:t>
      </w:r>
      <w:r w:rsidR="00FA5DF2" w:rsidRPr="00FA5DF2">
        <w:rPr>
          <w:rFonts w:ascii="Arial" w:hAnsi="Arial" w:cs="Arial"/>
          <w:b/>
          <w:sz w:val="24"/>
          <w:szCs w:val="24"/>
        </w:rPr>
        <w:t>November 27th – December 1st 2017</w:t>
      </w:r>
    </w:p>
    <w:p w14:paraId="43B7F87B" w14:textId="77777777" w:rsidR="0068226B" w:rsidRPr="000A64D8" w:rsidRDefault="0068226B" w:rsidP="00480B03">
      <w:pPr>
        <w:pStyle w:val="Footer"/>
        <w:jc w:val="both"/>
        <w:rPr>
          <w:noProof w:val="0"/>
        </w:rPr>
      </w:pPr>
    </w:p>
    <w:p w14:paraId="43B7F87C" w14:textId="7CB0C882" w:rsidR="0068226B" w:rsidRPr="000A64D8" w:rsidRDefault="0068226B" w:rsidP="00E15352">
      <w:pPr>
        <w:tabs>
          <w:tab w:val="left" w:pos="1985"/>
        </w:tabs>
        <w:jc w:val="both"/>
        <w:rPr>
          <w:rFonts w:ascii="Arial" w:hAnsi="Arial"/>
          <w:sz w:val="24"/>
        </w:rPr>
      </w:pPr>
      <w:r w:rsidRPr="000A64D8">
        <w:rPr>
          <w:rFonts w:ascii="Arial" w:hAnsi="Arial"/>
          <w:b/>
          <w:sz w:val="24"/>
        </w:rPr>
        <w:t>Agenda item:</w:t>
      </w:r>
      <w:r w:rsidRPr="000A64D8">
        <w:rPr>
          <w:rFonts w:ascii="Arial" w:hAnsi="Arial"/>
          <w:sz w:val="24"/>
        </w:rPr>
        <w:tab/>
      </w:r>
      <w:bookmarkStart w:id="0" w:name="Source"/>
      <w:bookmarkEnd w:id="0"/>
      <w:r w:rsidR="00CD37A5">
        <w:rPr>
          <w:rFonts w:ascii="Arial" w:hAnsi="Arial"/>
          <w:sz w:val="24"/>
        </w:rPr>
        <w:t>7.3.4.2</w:t>
      </w:r>
    </w:p>
    <w:p w14:paraId="43B7F87D" w14:textId="33B78F53" w:rsidR="0068226B" w:rsidRPr="000A64D8" w:rsidRDefault="0068226B" w:rsidP="00480B03">
      <w:pPr>
        <w:tabs>
          <w:tab w:val="left" w:pos="1985"/>
        </w:tabs>
        <w:jc w:val="both"/>
        <w:rPr>
          <w:rFonts w:ascii="Arial" w:hAnsi="Arial"/>
          <w:sz w:val="24"/>
        </w:rPr>
      </w:pPr>
      <w:r w:rsidRPr="000A64D8">
        <w:rPr>
          <w:rFonts w:ascii="Arial" w:hAnsi="Arial"/>
          <w:b/>
          <w:sz w:val="24"/>
        </w:rPr>
        <w:t xml:space="preserve">Source: </w:t>
      </w:r>
      <w:r w:rsidRPr="000A64D8">
        <w:rPr>
          <w:rFonts w:ascii="Arial" w:hAnsi="Arial"/>
          <w:b/>
          <w:sz w:val="24"/>
        </w:rPr>
        <w:tab/>
      </w:r>
      <w:r w:rsidR="00871D14" w:rsidRPr="000A64D8">
        <w:rPr>
          <w:rFonts w:ascii="Arial" w:hAnsi="Arial"/>
          <w:sz w:val="24"/>
        </w:rPr>
        <w:t>Qualcomm Inc</w:t>
      </w:r>
      <w:r w:rsidR="008E0E89" w:rsidRPr="000A64D8">
        <w:rPr>
          <w:rFonts w:ascii="Arial" w:hAnsi="Arial"/>
          <w:sz w:val="24"/>
        </w:rPr>
        <w:t>orporated</w:t>
      </w:r>
    </w:p>
    <w:p w14:paraId="43B7F87E" w14:textId="463E2D9D" w:rsidR="00C10599" w:rsidRPr="0007796D" w:rsidRDefault="0068226B" w:rsidP="00EB05DC">
      <w:pPr>
        <w:ind w:left="1988" w:hanging="1988"/>
        <w:rPr>
          <w:rFonts w:ascii="Arial" w:hAnsi="Arial"/>
          <w:sz w:val="24"/>
          <w:szCs w:val="24"/>
        </w:rPr>
      </w:pPr>
      <w:r w:rsidRPr="000A64D8">
        <w:rPr>
          <w:rFonts w:ascii="Arial" w:hAnsi="Arial"/>
          <w:b/>
          <w:sz w:val="24"/>
        </w:rPr>
        <w:t>Title:</w:t>
      </w:r>
      <w:r w:rsidRPr="000A64D8">
        <w:rPr>
          <w:rFonts w:ascii="Arial" w:hAnsi="Arial"/>
          <w:sz w:val="24"/>
        </w:rPr>
        <w:t xml:space="preserve"> </w:t>
      </w:r>
      <w:r w:rsidRPr="000A64D8">
        <w:rPr>
          <w:rFonts w:ascii="Arial" w:hAnsi="Arial"/>
          <w:sz w:val="22"/>
        </w:rPr>
        <w:tab/>
      </w:r>
      <w:r w:rsidR="00FF00B6">
        <w:rPr>
          <w:rFonts w:ascii="Arial" w:hAnsi="Arial"/>
          <w:sz w:val="22"/>
        </w:rPr>
        <w:t xml:space="preserve">Open Issues on </w:t>
      </w:r>
      <w:r w:rsidR="008708B4">
        <w:rPr>
          <w:rFonts w:ascii="Arial" w:hAnsi="Arial"/>
          <w:sz w:val="24"/>
          <w:szCs w:val="24"/>
        </w:rPr>
        <w:t>CA</w:t>
      </w:r>
    </w:p>
    <w:p w14:paraId="43B7F87F" w14:textId="77777777" w:rsidR="0068226B" w:rsidRDefault="0068226B" w:rsidP="00480B03">
      <w:pPr>
        <w:ind w:left="1988" w:hanging="1988"/>
        <w:jc w:val="both"/>
        <w:rPr>
          <w:rFonts w:ascii="Arial" w:hAnsi="Arial"/>
          <w:sz w:val="24"/>
        </w:rPr>
      </w:pPr>
      <w:r w:rsidRPr="000A64D8">
        <w:rPr>
          <w:rFonts w:ascii="Arial" w:hAnsi="Arial"/>
          <w:b/>
          <w:sz w:val="24"/>
        </w:rPr>
        <w:t>Document for:</w:t>
      </w:r>
      <w:r w:rsidRPr="000A64D8">
        <w:rPr>
          <w:rFonts w:ascii="Arial" w:hAnsi="Arial"/>
          <w:sz w:val="24"/>
        </w:rPr>
        <w:tab/>
      </w:r>
      <w:bookmarkStart w:id="1" w:name="DocumentFor"/>
      <w:bookmarkEnd w:id="1"/>
      <w:r w:rsidRPr="000A64D8">
        <w:rPr>
          <w:rFonts w:ascii="Arial" w:hAnsi="Arial"/>
          <w:sz w:val="24"/>
        </w:rPr>
        <w:t>Discussion</w:t>
      </w:r>
      <w:r w:rsidR="00272736">
        <w:rPr>
          <w:rFonts w:ascii="Arial" w:hAnsi="Arial"/>
          <w:sz w:val="24"/>
        </w:rPr>
        <w:t>/Decision</w:t>
      </w:r>
    </w:p>
    <w:p w14:paraId="5F9B6AB3" w14:textId="77777777" w:rsidR="00E4038C" w:rsidRDefault="00E4038C" w:rsidP="00E4038C">
      <w:pPr>
        <w:pStyle w:val="Heading1"/>
        <w:textAlignment w:val="auto"/>
      </w:pPr>
      <w:bookmarkStart w:id="2" w:name="_Ref494746248"/>
      <w:r>
        <w:t>Introduction</w:t>
      </w:r>
      <w:bookmarkEnd w:id="2"/>
    </w:p>
    <w:p w14:paraId="4AAFCC67" w14:textId="5FA0A0BC" w:rsidR="00E4038C" w:rsidRDefault="005F76BE" w:rsidP="00E4038C">
      <w:pPr>
        <w:spacing w:after="120"/>
      </w:pPr>
      <w:r>
        <w:t>This contribution</w:t>
      </w:r>
      <w:r w:rsidR="00E4038C">
        <w:t xml:space="preserve"> discuss</w:t>
      </w:r>
      <w:r>
        <w:t>es</w:t>
      </w:r>
      <w:r w:rsidR="00E4038C">
        <w:t xml:space="preserve"> </w:t>
      </w:r>
      <w:r w:rsidR="00C227E3">
        <w:t xml:space="preserve">issues in CA </w:t>
      </w:r>
      <w:r>
        <w:t>and BWP for NR</w:t>
      </w:r>
      <w:r w:rsidR="00105EFB">
        <w:t xml:space="preserve"> including</w:t>
      </w:r>
      <w:r>
        <w:t xml:space="preserve"> </w:t>
      </w:r>
      <w:r w:rsidR="00EE7047">
        <w:t>SCell BWP adaptation</w:t>
      </w:r>
      <w:r w:rsidR="00105EFB">
        <w:t xml:space="preserve">, timeline with </w:t>
      </w:r>
      <w:r w:rsidR="00A96F9C">
        <w:t xml:space="preserve">CA </w:t>
      </w:r>
      <w:r w:rsidR="00105EFB">
        <w:t>activation/deactivation</w:t>
      </w:r>
      <w:r w:rsidR="00A96F9C">
        <w:t>, dynamic HARQ-ACK feedback</w:t>
      </w:r>
      <w:r w:rsidR="00105EFB">
        <w:t xml:space="preserve">, and CA </w:t>
      </w:r>
      <w:r w:rsidR="00C227E3">
        <w:t xml:space="preserve">with mixed numerology. </w:t>
      </w:r>
    </w:p>
    <w:p w14:paraId="2C2AD672" w14:textId="1D2E6B94" w:rsidR="002B3B40" w:rsidRDefault="002B3B40" w:rsidP="002B3B40">
      <w:pPr>
        <w:rPr>
          <w:lang w:val="en-GB"/>
        </w:rPr>
      </w:pPr>
      <w:r>
        <w:rPr>
          <w:lang w:val="en-GB"/>
        </w:rPr>
        <w:t xml:space="preserve">In RAN1 </w:t>
      </w:r>
      <w:r w:rsidR="00D328AE">
        <w:rPr>
          <w:lang w:val="en-GB"/>
        </w:rPr>
        <w:t xml:space="preserve">NR </w:t>
      </w:r>
      <w:r>
        <w:rPr>
          <w:lang w:val="en-GB"/>
        </w:rPr>
        <w:t>AH#3</w:t>
      </w:r>
      <w:r w:rsidR="009E3759">
        <w:rPr>
          <w:lang w:val="en-GB"/>
        </w:rPr>
        <w:t xml:space="preserve"> (2017)</w:t>
      </w:r>
      <w:r>
        <w:rPr>
          <w:lang w:val="en-GB"/>
        </w:rPr>
        <w:t>, the following agreements were made:</w:t>
      </w:r>
    </w:p>
    <w:p w14:paraId="0271A577" w14:textId="77777777" w:rsidR="002B3B40" w:rsidRPr="00FA1088" w:rsidRDefault="002B3B40" w:rsidP="002B3B40">
      <w:pPr>
        <w:numPr>
          <w:ilvl w:val="0"/>
          <w:numId w:val="35"/>
        </w:numPr>
        <w:overflowPunct/>
        <w:autoSpaceDE/>
        <w:autoSpaceDN/>
        <w:adjustRightInd/>
        <w:spacing w:after="0"/>
        <w:ind w:left="567" w:hanging="207"/>
        <w:textAlignment w:val="auto"/>
      </w:pPr>
      <w:r w:rsidRPr="00FA1088">
        <w:t>For each UE-specific serving cell, one or more DL BWPs and one or more UL BWPs can be configured by dedicated RRC for a UE</w:t>
      </w:r>
    </w:p>
    <w:p w14:paraId="5CE575BC" w14:textId="77777777" w:rsidR="002B3B40" w:rsidRPr="00FA1088" w:rsidRDefault="002B3B40" w:rsidP="002B3B40">
      <w:pPr>
        <w:numPr>
          <w:ilvl w:val="1"/>
          <w:numId w:val="35"/>
        </w:numPr>
        <w:tabs>
          <w:tab w:val="left" w:pos="720"/>
        </w:tabs>
        <w:overflowPunct/>
        <w:autoSpaceDE/>
        <w:autoSpaceDN/>
        <w:adjustRightInd/>
        <w:spacing w:after="0"/>
        <w:textAlignment w:val="auto"/>
      </w:pPr>
      <w:r w:rsidRPr="00FA1088">
        <w:t>FFS association of DL BWP and UL BWP</w:t>
      </w:r>
    </w:p>
    <w:p w14:paraId="28A2DFD2" w14:textId="77777777" w:rsidR="002B3B40" w:rsidRDefault="002B3B40" w:rsidP="0053268B">
      <w:pPr>
        <w:numPr>
          <w:ilvl w:val="1"/>
          <w:numId w:val="35"/>
        </w:numPr>
        <w:tabs>
          <w:tab w:val="left" w:pos="720"/>
        </w:tabs>
        <w:overflowPunct/>
        <w:autoSpaceDE/>
        <w:autoSpaceDN/>
        <w:adjustRightInd/>
        <w:spacing w:after="120"/>
        <w:ind w:left="1434" w:hanging="357"/>
        <w:textAlignment w:val="auto"/>
      </w:pPr>
      <w:r w:rsidRPr="00FA1088">
        <w:t>FFS definition of an active cell in relation to DL BWP and UL BWP, whether or not there are cross-cell/cross-BWP interactions</w:t>
      </w:r>
    </w:p>
    <w:p w14:paraId="3A034B8A" w14:textId="4C600514" w:rsidR="002B3B40" w:rsidRDefault="002B3B40" w:rsidP="0053268B">
      <w:pPr>
        <w:numPr>
          <w:ilvl w:val="0"/>
          <w:numId w:val="35"/>
        </w:numPr>
        <w:tabs>
          <w:tab w:val="left" w:pos="720"/>
        </w:tabs>
        <w:overflowPunct/>
        <w:autoSpaceDE/>
        <w:autoSpaceDN/>
        <w:adjustRightInd/>
        <w:spacing w:after="120"/>
        <w:textAlignment w:val="auto"/>
      </w:pPr>
      <w:r w:rsidRPr="00605099">
        <w:t>In Rel-15, for a UE, there is at most one active DL BWP and at most one active UL BWP at a given time for a serving cell</w:t>
      </w:r>
    </w:p>
    <w:p w14:paraId="5C0E7500" w14:textId="77777777" w:rsidR="00E77B90" w:rsidRDefault="00E77B90" w:rsidP="00E77B90">
      <w:pPr>
        <w:tabs>
          <w:tab w:val="left" w:pos="720"/>
        </w:tabs>
        <w:overflowPunct/>
        <w:autoSpaceDE/>
        <w:autoSpaceDN/>
        <w:adjustRightInd/>
        <w:spacing w:after="120"/>
        <w:textAlignment w:val="auto"/>
      </w:pPr>
    </w:p>
    <w:p w14:paraId="1AAFA78F" w14:textId="56075D06" w:rsidR="00E77B90" w:rsidRDefault="00E77B90" w:rsidP="00E77B90">
      <w:pPr>
        <w:tabs>
          <w:tab w:val="left" w:pos="720"/>
        </w:tabs>
        <w:overflowPunct/>
        <w:autoSpaceDE/>
        <w:autoSpaceDN/>
        <w:adjustRightInd/>
        <w:spacing w:after="120"/>
        <w:textAlignment w:val="auto"/>
      </w:pPr>
      <w:r>
        <w:t>In RAN1 #90bis, the following agreements were made:</w:t>
      </w:r>
    </w:p>
    <w:p w14:paraId="16F359B1" w14:textId="77777777" w:rsidR="00E77B90" w:rsidRDefault="00E77B90" w:rsidP="00E77B90">
      <w:pPr>
        <w:numPr>
          <w:ilvl w:val="0"/>
          <w:numId w:val="38"/>
        </w:numPr>
        <w:overflowPunct/>
        <w:autoSpaceDE/>
        <w:autoSpaceDN/>
        <w:adjustRightInd/>
        <w:spacing w:after="0"/>
        <w:textAlignment w:val="auto"/>
      </w:pPr>
      <w:r>
        <w:t>For an Scell, RRC signaling for Scell configuration/reconfiguration indicates the first active DL BWP and/or the first active UL BWP when the Scell is activated</w:t>
      </w:r>
    </w:p>
    <w:p w14:paraId="10C488C9" w14:textId="77777777" w:rsidR="00E77B90" w:rsidRDefault="00E77B90" w:rsidP="00E77B90">
      <w:pPr>
        <w:numPr>
          <w:ilvl w:val="1"/>
          <w:numId w:val="38"/>
        </w:numPr>
        <w:overflowPunct/>
        <w:autoSpaceDE/>
        <w:autoSpaceDN/>
        <w:adjustRightInd/>
        <w:spacing w:after="0"/>
        <w:textAlignment w:val="auto"/>
      </w:pPr>
      <w:r>
        <w:t>NR supports Scell activation signaling that doesn’t contain any information related to the first active DL/UL BWP</w:t>
      </w:r>
    </w:p>
    <w:p w14:paraId="5EC0444F" w14:textId="77777777" w:rsidR="00E77B90" w:rsidRDefault="00E77B90" w:rsidP="00E77B90">
      <w:pPr>
        <w:numPr>
          <w:ilvl w:val="0"/>
          <w:numId w:val="38"/>
        </w:numPr>
        <w:overflowPunct/>
        <w:autoSpaceDE/>
        <w:autoSpaceDN/>
        <w:adjustRightInd/>
        <w:spacing w:after="0"/>
        <w:textAlignment w:val="auto"/>
      </w:pPr>
      <w:r>
        <w:t>For an Scell, active DL BWP and/or UL BWP are deactivated when the Scell is deactivated</w:t>
      </w:r>
    </w:p>
    <w:p w14:paraId="11097ADF" w14:textId="77777777" w:rsidR="00E77B90" w:rsidRDefault="00E77B90" w:rsidP="00E77B90">
      <w:pPr>
        <w:numPr>
          <w:ilvl w:val="1"/>
          <w:numId w:val="38"/>
        </w:numPr>
        <w:overflowPunct/>
        <w:autoSpaceDE/>
        <w:autoSpaceDN/>
        <w:adjustRightInd/>
        <w:spacing w:after="0"/>
        <w:textAlignment w:val="auto"/>
      </w:pPr>
      <w:r>
        <w:t>Note: it’s RAN1 ‘s understanding that Scell can be deactivated by an Scell timer</w:t>
      </w:r>
    </w:p>
    <w:p w14:paraId="5EE1D93F" w14:textId="77777777" w:rsidR="00E77B90" w:rsidRDefault="00E77B90" w:rsidP="00E77B90">
      <w:pPr>
        <w:tabs>
          <w:tab w:val="left" w:pos="720"/>
        </w:tabs>
        <w:overflowPunct/>
        <w:autoSpaceDE/>
        <w:autoSpaceDN/>
        <w:adjustRightInd/>
        <w:spacing w:after="120"/>
        <w:textAlignment w:val="auto"/>
      </w:pPr>
    </w:p>
    <w:p w14:paraId="3376174C" w14:textId="1EB1786F" w:rsidR="003F0666" w:rsidRDefault="00452D50" w:rsidP="00E4038C">
      <w:pPr>
        <w:spacing w:after="120"/>
      </w:pPr>
      <w:r>
        <w:t>This is mostly a new contribution</w:t>
      </w:r>
      <w:r w:rsidR="00B62F1E">
        <w:t xml:space="preserve"> with some sections based on resubmission</w:t>
      </w:r>
      <w:bookmarkStart w:id="3" w:name="_GoBack"/>
      <w:bookmarkEnd w:id="3"/>
      <w:r w:rsidR="003F0666">
        <w:t>.</w:t>
      </w:r>
    </w:p>
    <w:p w14:paraId="491BC27D" w14:textId="5CBA3058" w:rsidR="0099256F" w:rsidRDefault="00314111" w:rsidP="0053268B">
      <w:pPr>
        <w:pStyle w:val="Heading1"/>
      </w:pPr>
      <w:bookmarkStart w:id="4" w:name="_Ref494671767"/>
      <w:r>
        <w:t xml:space="preserve">SCell </w:t>
      </w:r>
      <w:bookmarkEnd w:id="4"/>
      <w:r w:rsidR="003C0E4F">
        <w:t>BWP Adaptation</w:t>
      </w:r>
    </w:p>
    <w:p w14:paraId="0EDFCC4B" w14:textId="5D70F4A3" w:rsidR="00736803" w:rsidRDefault="00736803" w:rsidP="00736803">
      <w:pPr>
        <w:rPr>
          <w:lang w:val="en-GB"/>
        </w:rPr>
      </w:pPr>
      <w:r>
        <w:rPr>
          <w:lang w:val="en-GB"/>
        </w:rPr>
        <w:t>(</w:t>
      </w:r>
      <w:r w:rsidRPr="00736803">
        <w:rPr>
          <w:i/>
          <w:lang w:val="en-GB"/>
        </w:rPr>
        <w:t xml:space="preserve">This section </w:t>
      </w:r>
      <w:r>
        <w:rPr>
          <w:i/>
          <w:lang w:val="en-GB"/>
        </w:rPr>
        <w:t>contains new material</w:t>
      </w:r>
      <w:r>
        <w:rPr>
          <w:lang w:val="en-GB"/>
        </w:rPr>
        <w:t>)</w:t>
      </w:r>
    </w:p>
    <w:p w14:paraId="52E4B644" w14:textId="6E854028" w:rsidR="0090672A" w:rsidRDefault="0090672A" w:rsidP="0053268B">
      <w:pPr>
        <w:pStyle w:val="Heading2"/>
      </w:pPr>
      <w:r>
        <w:t>Motivation</w:t>
      </w:r>
      <w:r w:rsidR="00D03C72">
        <w:t xml:space="preserve"> and Overview</w:t>
      </w:r>
    </w:p>
    <w:p w14:paraId="66FDCB50" w14:textId="455FF7D6" w:rsidR="00111494" w:rsidRDefault="00400181" w:rsidP="0053268B">
      <w:pPr>
        <w:overflowPunct/>
        <w:autoSpaceDE/>
        <w:autoSpaceDN/>
        <w:adjustRightInd/>
        <w:spacing w:after="240"/>
        <w:textAlignment w:val="auto"/>
      </w:pPr>
      <w:r w:rsidRPr="006D7115">
        <w:t xml:space="preserve">One of the </w:t>
      </w:r>
      <w:r>
        <w:t xml:space="preserve">main motivations for </w:t>
      </w:r>
      <w:r w:rsidR="004A1C63">
        <w:t xml:space="preserve">the bandwidth part (BWP) feature in NR </w:t>
      </w:r>
      <w:r>
        <w:t>is to support dynamic bandwidth</w:t>
      </w:r>
      <w:r w:rsidRPr="006D7115">
        <w:t xml:space="preserve"> adaptation </w:t>
      </w:r>
      <w:r>
        <w:t xml:space="preserve">for UE power saving. </w:t>
      </w:r>
      <w:r w:rsidR="00D374E1">
        <w:t>In RAN1 NR AH#3 (2017), i</w:t>
      </w:r>
      <w:r w:rsidR="006D7115">
        <w:t xml:space="preserve">t has already been agreed that BWP activation/deactivation/switching is signaled via DCI. </w:t>
      </w:r>
      <w:r>
        <w:t>For single carrier, UE’s RF bandwidth can dynamically adapt to the switching of BWP which is signaled by DCI. Dynamic switching between a BWP with narrow bandwidth</w:t>
      </w:r>
      <w:r w:rsidR="00A51327">
        <w:t xml:space="preserve"> and a BWP with a wide</w:t>
      </w:r>
      <w:r>
        <w:t xml:space="preserve"> bandwidth can result in UE power saving.</w:t>
      </w:r>
      <w:r w:rsidR="00A51327">
        <w:t xml:space="preserve"> However, for carrier aggregation (CA), it is not clear that adaptation between narrow BWP and wide BWP within each carrier would be as effective for UE power saving. It is especially evident for intra-band contiguous CA which employs a wideband Rx RF frontend architecture. If multiple SCells are activated, even if they operate with narrow BWP, the overall Rx RF bandwidth may not reduce by too much because it is dictated by the overall span of all of the serving cells’ active </w:t>
      </w:r>
      <w:r w:rsidR="00F24A9F">
        <w:t xml:space="preserve">DL </w:t>
      </w:r>
      <w:r w:rsidR="00A51327">
        <w:t xml:space="preserve">BWPs, not by the bandwidth of a single active BWP. </w:t>
      </w:r>
      <w:r w:rsidR="003C0E4F">
        <w:t xml:space="preserve">BWP adaptation </w:t>
      </w:r>
      <w:r w:rsidR="00163B00">
        <w:t>o</w:t>
      </w:r>
      <w:r w:rsidR="003C0E4F">
        <w:t xml:space="preserve">n </w:t>
      </w:r>
      <w:r w:rsidR="00163B00">
        <w:t xml:space="preserve">only </w:t>
      </w:r>
      <w:r w:rsidR="003C0E4F">
        <w:t>the outer-most CCs would have a modest impact to the overall Rx RF bandwidth.</w:t>
      </w:r>
    </w:p>
    <w:p w14:paraId="5EBF5729" w14:textId="73973E52" w:rsidR="001970EF" w:rsidRDefault="00444982" w:rsidP="0053268B">
      <w:pPr>
        <w:overflowPunct/>
        <w:autoSpaceDE/>
        <w:autoSpaceDN/>
        <w:adjustRightInd/>
        <w:spacing w:after="240"/>
        <w:textAlignment w:val="auto"/>
      </w:pPr>
      <w:r>
        <w:t xml:space="preserve">As an example, consider the same gNB CC bandwidth of 400MHz, and two UE configurations: (i) single wideband CC also of 400 MHz bandwidth, (ii) intra-band contiguous CA consisting of 4 carriers, each with 100MHz bandwidth. For </w:t>
      </w:r>
      <w:r w:rsidR="003C0E4F">
        <w:t xml:space="preserve">configuration </w:t>
      </w:r>
      <w:r>
        <w:t xml:space="preserve">(i), dynamic BWP adaptation can be very effective in achieving UE power saving. One possible configuration is to configure 40MHz bandwidth for the narrow BWP, and 400MHz bandwidth for the wide BWP, and </w:t>
      </w:r>
      <w:r>
        <w:lastRenderedPageBreak/>
        <w:t xml:space="preserve">dynamically switch between them based on DCI signaling. For </w:t>
      </w:r>
      <w:r w:rsidR="003C0E4F">
        <w:t xml:space="preserve">configuration </w:t>
      </w:r>
      <w:r>
        <w:t xml:space="preserve">(ii), suppose the same </w:t>
      </w:r>
      <w:r w:rsidR="0063362C">
        <w:t>ratio</w:t>
      </w:r>
      <w:r>
        <w:t xml:space="preserve"> of 10 between BWP </w:t>
      </w:r>
      <w:r w:rsidR="0063362C">
        <w:t xml:space="preserve">bandwidth </w:t>
      </w:r>
      <w:r>
        <w:t xml:space="preserve">can be configured, i.e. 10MHz for the narrow BWP, and 100MHz for the wide BWP. </w:t>
      </w:r>
      <w:r w:rsidR="001970EF">
        <w:t xml:space="preserve">Even if all the carriers are switched to their respective narrow BWP, the overall Rx RF bandwidth cannot be reduced substantially as in the single wideband CC case. The Rx RF bandwidth would be at </w:t>
      </w:r>
      <w:r w:rsidR="002C4A25">
        <w:t xml:space="preserve">best </w:t>
      </w:r>
      <w:r w:rsidR="001970EF">
        <w:t xml:space="preserve">reduced to 2x100 + 2x10 = 220MHz even if the narrow BWP are </w:t>
      </w:r>
      <w:r w:rsidR="002C4A25">
        <w:t>inner-most aligned for the outer-most carriers.</w:t>
      </w:r>
    </w:p>
    <w:p w14:paraId="44208070" w14:textId="55913441" w:rsidR="001970EF" w:rsidRDefault="00883ADF" w:rsidP="0053268B">
      <w:pPr>
        <w:overflowPunct/>
        <w:autoSpaceDE/>
        <w:autoSpaceDN/>
        <w:adjustRightInd/>
        <w:spacing w:after="240"/>
        <w:textAlignment w:val="auto"/>
      </w:pPr>
      <w:r>
        <w:t xml:space="preserve">If SCells can be deactivated/activated quickly, fully in sync with PCell BWP switching, in theory, similar extent of dynamic bandwidth adaptation can be achieved as the single wideband CC case. </w:t>
      </w:r>
      <w:r w:rsidR="003C0E4F">
        <w:t>Alternatively</w:t>
      </w:r>
      <w:r>
        <w:t xml:space="preserve">, there is a simpler way to extend BWP signaling for SCells and capture most of the power saving benefits </w:t>
      </w:r>
      <w:r w:rsidR="003C0E4F">
        <w:t>of dynamic bandwidth adaptation, which will be proposed.</w:t>
      </w:r>
      <w:r w:rsidR="002D7952">
        <w:t xml:space="preserve"> </w:t>
      </w:r>
      <w:r w:rsidR="00DD2C34">
        <w:t>In the following discussion, t</w:t>
      </w:r>
      <w:r w:rsidR="002D7952">
        <w:t xml:space="preserve">his scheme will </w:t>
      </w:r>
      <w:r w:rsidR="00DD2C34">
        <w:t xml:space="preserve">sometimes </w:t>
      </w:r>
      <w:r w:rsidR="002D7952">
        <w:t>be</w:t>
      </w:r>
      <w:r w:rsidR="00DD2C34">
        <w:t xml:space="preserve"> short-handedly </w:t>
      </w:r>
      <w:r w:rsidR="002D7952">
        <w:t>referred to as “SCell gating” to differentiate it from the full-fledged SCell deact</w:t>
      </w:r>
      <w:r w:rsidR="00DD2C34">
        <w:t>ivation</w:t>
      </w:r>
      <w:r w:rsidR="009846DE">
        <w:t>/activation</w:t>
      </w:r>
      <w:r w:rsidR="00DD2C34">
        <w:t xml:space="preserve">, but it should be kept in mind that this scheme does not try to replace whatever SCell activation/deactivation scheme already in place. </w:t>
      </w:r>
      <w:r w:rsidR="00687A5E">
        <w:t>In terms of semantics, w</w:t>
      </w:r>
      <w:r w:rsidR="00DD2C34">
        <w:t xml:space="preserve">e will also introduce a short-hand for saying “switching the SCell’s active BWP to </w:t>
      </w:r>
      <w:r w:rsidR="00A97B8A">
        <w:t xml:space="preserve">the default </w:t>
      </w:r>
      <w:r w:rsidR="00DD2C34">
        <w:t xml:space="preserve">BWP” as “switching the SCell to </w:t>
      </w:r>
      <w:r w:rsidR="00A97B8A">
        <w:t xml:space="preserve">default </w:t>
      </w:r>
      <w:r w:rsidR="00DD2C34">
        <w:t>BWP”</w:t>
      </w:r>
      <w:r w:rsidR="00463F17">
        <w:t xml:space="preserve"> or “activating the default BWP on the SCell”</w:t>
      </w:r>
      <w:r w:rsidR="00A97B8A">
        <w:t xml:space="preserve">, using default BWP as an example. Also, it should be understood that activating a particular BWP means switching to the BWP (and deactivating the previous </w:t>
      </w:r>
      <w:r w:rsidR="00687A5E">
        <w:t>BWP</w:t>
      </w:r>
      <w:r w:rsidR="00A97B8A">
        <w:t xml:space="preserve">), based on the single active BWP </w:t>
      </w:r>
      <w:r w:rsidR="00F33DF0">
        <w:t xml:space="preserve">per serving cell </w:t>
      </w:r>
      <w:r w:rsidR="00A97B8A">
        <w:t>agreement.</w:t>
      </w:r>
    </w:p>
    <w:p w14:paraId="3A8301AF" w14:textId="282F6888" w:rsidR="00883ADF" w:rsidRDefault="00A97B8A" w:rsidP="0053268B">
      <w:pPr>
        <w:overflowPunct/>
        <w:autoSpaceDE/>
        <w:autoSpaceDN/>
        <w:adjustRightInd/>
        <w:spacing w:after="240"/>
        <w:textAlignment w:val="auto"/>
      </w:pPr>
      <w:r>
        <w:t>To support “SCell gating”, a</w:t>
      </w:r>
      <w:r w:rsidR="00DD2C34">
        <w:t xml:space="preserve"> special BWP, called “zero BWP”, can be configured</w:t>
      </w:r>
      <w:r>
        <w:t xml:space="preserve"> for a SCell</w:t>
      </w:r>
      <w:r w:rsidR="00DD2C34">
        <w:t xml:space="preserve">. </w:t>
      </w:r>
      <w:r w:rsidR="009846DE">
        <w:t xml:space="preserve">The details of how “zero BWP” can be configured can be discussed later. Functionally, it is a placeholder BWP configuration that corresponds to the BWP deactivated state. Whether it is </w:t>
      </w:r>
      <w:r w:rsidR="00C95FD1">
        <w:t xml:space="preserve">really </w:t>
      </w:r>
      <w:r w:rsidR="009846DE">
        <w:t xml:space="preserve">configured with zero bandwidth or not is secondary. </w:t>
      </w:r>
      <w:r w:rsidR="00917E0A">
        <w:t>D</w:t>
      </w:r>
      <w:r w:rsidR="00883ADF">
        <w:t>uring period of low traffic activity,</w:t>
      </w:r>
      <w:r w:rsidR="00A41D7F">
        <w:t xml:space="preserve"> activated</w:t>
      </w:r>
      <w:r w:rsidR="00883ADF">
        <w:t xml:space="preserve"> SCell(s) can </w:t>
      </w:r>
      <w:r w:rsidR="00DD2C34">
        <w:t>be switched to zero BWP</w:t>
      </w:r>
      <w:r w:rsidR="00113BC7">
        <w:t xml:space="preserve">, and </w:t>
      </w:r>
      <w:r w:rsidR="00DD2C34">
        <w:t>r</w:t>
      </w:r>
      <w:r>
        <w:t>ely only on PCell to monitor DL control channel</w:t>
      </w:r>
      <w:r w:rsidR="00113BC7">
        <w:t xml:space="preserve">. The actual signaling mechanism </w:t>
      </w:r>
      <w:r w:rsidR="00DD2C34">
        <w:t xml:space="preserve">to put SCell in and out of zero BWP </w:t>
      </w:r>
      <w:r w:rsidR="00113BC7">
        <w:t xml:space="preserve">can be done via BWP DCI signaling. Also, the default BWP for the SCell can be configured to be the zero BWP, so that when BWP timer expires, the SCell autonomously switches to </w:t>
      </w:r>
      <w:r>
        <w:t>zero BWP</w:t>
      </w:r>
      <w:r w:rsidR="00113BC7">
        <w:t>.</w:t>
      </w:r>
      <w:r>
        <w:t xml:space="preserve"> When a SCell’s zero BWP is activated</w:t>
      </w:r>
      <w:r w:rsidR="00D03C72">
        <w:t>, for RF frontend retuning purpose the SCell can be considered “OFF”</w:t>
      </w:r>
      <w:r w:rsidR="00FE326E">
        <w:t xml:space="preserve"> to minimize active RF bandwidth support and power consumption.</w:t>
      </w:r>
    </w:p>
    <w:p w14:paraId="6EC18043" w14:textId="2CF42D57" w:rsidR="00113BC7" w:rsidRDefault="002D7952" w:rsidP="0053268B">
      <w:pPr>
        <w:overflowPunct/>
        <w:autoSpaceDE/>
        <w:autoSpaceDN/>
        <w:adjustRightInd/>
        <w:spacing w:after="240"/>
        <w:textAlignment w:val="auto"/>
      </w:pPr>
      <w:r>
        <w:t>To summarize, f</w:t>
      </w:r>
      <w:r w:rsidR="00113BC7">
        <w:t xml:space="preserve">or </w:t>
      </w:r>
      <w:r w:rsidR="003C0E4F">
        <w:t xml:space="preserve">best effectiveness in terms of </w:t>
      </w:r>
      <w:r w:rsidR="00113BC7">
        <w:t>UE power saving, PCell adapts bandwidth between narrow and wide; For SCell, the switching would be between zero BWP and wide BWP.</w:t>
      </w:r>
      <w:r>
        <w:t xml:space="preserve"> </w:t>
      </w:r>
      <w:r w:rsidR="003C0E4F">
        <w:t>Both PCell and SCell should dynamically adapt based on DCI signaling.</w:t>
      </w:r>
    </w:p>
    <w:p w14:paraId="5D77BD7E" w14:textId="3C2D55D1" w:rsidR="00DF61C0" w:rsidRDefault="00DF61C0" w:rsidP="00DF61C0">
      <w:pPr>
        <w:pStyle w:val="Caption"/>
        <w:rPr>
          <w:b w:val="0"/>
        </w:rPr>
      </w:pPr>
      <w:bookmarkStart w:id="5" w:name="_Toc498707155"/>
      <w:bookmarkStart w:id="6" w:name="_Toc498707445"/>
      <w:bookmarkStart w:id="7" w:name="_Toc498707457"/>
      <w:bookmarkStart w:id="8" w:name="_Toc498708249"/>
      <w:bookmarkStart w:id="9" w:name="_Toc498708415"/>
      <w:bookmarkStart w:id="10" w:name="_Toc498714716"/>
      <w:bookmarkStart w:id="11" w:name="_Toc498714733"/>
      <w:bookmarkStart w:id="12" w:name="_Toc498720469"/>
      <w:bookmarkStart w:id="13" w:name="_Toc498720505"/>
      <w:bookmarkStart w:id="14" w:name="_Toc498464653"/>
      <w:bookmarkStart w:id="15" w:name="_Toc498464671"/>
      <w:bookmarkStart w:id="16" w:name="_Toc498679754"/>
      <w:bookmarkStart w:id="17" w:name="_Toc498680114"/>
      <w:bookmarkStart w:id="18" w:name="_Toc498680594"/>
      <w:bookmarkStart w:id="19" w:name="_Toc498680626"/>
      <w:bookmarkStart w:id="20" w:name="_Toc498680817"/>
      <w:bookmarkStart w:id="21" w:name="_Toc498681347"/>
      <w:bookmarkStart w:id="22" w:name="_Toc498707738"/>
      <w:bookmarkStart w:id="23" w:name="_Toc498708149"/>
      <w:bookmarkStart w:id="24" w:name="_Toc498716901"/>
      <w:bookmarkStart w:id="25" w:name="_Toc498716966"/>
      <w:r>
        <w:t xml:space="preserve">Proposal </w:t>
      </w:r>
      <w:fldSimple w:instr=" SEQ Proposal \* ARABIC ">
        <w:r w:rsidR="00887472">
          <w:rPr>
            <w:noProof/>
          </w:rPr>
          <w:t>1</w:t>
        </w:r>
      </w:fldSimple>
      <w:r>
        <w:t xml:space="preserve">: RAN1 supports the configuration of a special BWP which corresponds to </w:t>
      </w:r>
      <w:r w:rsidR="00887472">
        <w:t xml:space="preserve">a </w:t>
      </w:r>
      <w:r>
        <w:t xml:space="preserve">BWP </w:t>
      </w:r>
      <w:r w:rsidR="00887472">
        <w:t xml:space="preserve">that is always </w:t>
      </w:r>
      <w:r>
        <w:t>deactivated</w:t>
      </w:r>
      <w:r w:rsidR="00B82A0E">
        <w:t>.</w:t>
      </w:r>
      <w:r>
        <w:t xml:space="preserve"> </w:t>
      </w:r>
      <w:r w:rsidR="00B82A0E">
        <w:t>It can be referred to as the “zero-BWP”.</w:t>
      </w:r>
      <w:bookmarkEnd w:id="5"/>
      <w:bookmarkEnd w:id="6"/>
      <w:bookmarkEnd w:id="7"/>
      <w:bookmarkEnd w:id="8"/>
      <w:bookmarkEnd w:id="9"/>
      <w:bookmarkEnd w:id="10"/>
      <w:bookmarkEnd w:id="11"/>
      <w:bookmarkEnd w:id="12"/>
      <w:bookmarkEnd w:id="13"/>
      <w:r w:rsidR="00B82A0E">
        <w:t xml:space="preserve"> </w:t>
      </w:r>
      <w:bookmarkEnd w:id="14"/>
      <w:bookmarkEnd w:id="15"/>
      <w:bookmarkEnd w:id="16"/>
      <w:bookmarkEnd w:id="17"/>
      <w:bookmarkEnd w:id="18"/>
      <w:bookmarkEnd w:id="19"/>
      <w:bookmarkEnd w:id="20"/>
      <w:bookmarkEnd w:id="21"/>
      <w:bookmarkEnd w:id="22"/>
      <w:bookmarkEnd w:id="23"/>
      <w:bookmarkEnd w:id="24"/>
      <w:bookmarkEnd w:id="25"/>
    </w:p>
    <w:p w14:paraId="67B3EB03" w14:textId="3346046C" w:rsidR="003A3C4B" w:rsidRDefault="003A3C4B" w:rsidP="0053268B">
      <w:pPr>
        <w:overflowPunct/>
        <w:autoSpaceDE/>
        <w:autoSpaceDN/>
        <w:adjustRightInd/>
        <w:spacing w:after="240"/>
        <w:textAlignment w:val="auto"/>
      </w:pPr>
      <w:r>
        <w:rPr>
          <w:lang w:val="en-GB"/>
        </w:rPr>
        <w:t>When the zero BWP</w:t>
      </w:r>
      <w:r w:rsidR="00A97B8A">
        <w:rPr>
          <w:lang w:val="en-GB"/>
        </w:rPr>
        <w:t xml:space="preserve"> is activated</w:t>
      </w:r>
      <w:r w:rsidR="00463F17">
        <w:rPr>
          <w:lang w:val="en-GB"/>
        </w:rPr>
        <w:t xml:space="preserve"> on a SCell</w:t>
      </w:r>
      <w:r>
        <w:rPr>
          <w:lang w:val="en-GB"/>
        </w:rPr>
        <w:t>, UE does not monitor PDCCH on the SCell and it would not be able to receive signalling within the cell. Some form of cross-cell signalling from the PCell must be used</w:t>
      </w:r>
      <w:r w:rsidR="00B54126">
        <w:rPr>
          <w:lang w:val="en-GB"/>
        </w:rPr>
        <w:t xml:space="preserve"> in order to switch the a</w:t>
      </w:r>
      <w:r w:rsidR="00F33DF0">
        <w:rPr>
          <w:lang w:val="en-GB"/>
        </w:rPr>
        <w:t>ctive BWP of the SCell out of</w:t>
      </w:r>
      <w:r w:rsidR="00B54126">
        <w:rPr>
          <w:lang w:val="en-GB"/>
        </w:rPr>
        <w:t xml:space="preserve"> zero BWP.</w:t>
      </w:r>
      <w:r>
        <w:rPr>
          <w:lang w:val="en-GB"/>
        </w:rPr>
        <w:t xml:space="preserve"> A number of options and the details will be discussed in the next section.</w:t>
      </w:r>
    </w:p>
    <w:p w14:paraId="67F20AA2" w14:textId="7F2B8DA6" w:rsidR="00883ADF" w:rsidRDefault="00FE326E" w:rsidP="0053268B">
      <w:pPr>
        <w:overflowPunct/>
        <w:autoSpaceDE/>
        <w:autoSpaceDN/>
        <w:adjustRightInd/>
        <w:spacing w:after="240"/>
        <w:textAlignment w:val="auto"/>
      </w:pPr>
      <w:r>
        <w:t xml:space="preserve">From RAN2 perspective, </w:t>
      </w:r>
      <w:r w:rsidR="003F0AF1">
        <w:t xml:space="preserve">the </w:t>
      </w:r>
      <w:r>
        <w:t xml:space="preserve">behavior </w:t>
      </w:r>
      <w:r w:rsidR="00463F17">
        <w:t xml:space="preserve">on a zero BWP should be </w:t>
      </w:r>
      <w:r w:rsidR="00687A5E">
        <w:t>same as</w:t>
      </w:r>
      <w:r w:rsidR="00463F17">
        <w:t xml:space="preserve"> the behavior on a </w:t>
      </w:r>
      <w:r>
        <w:t xml:space="preserve">deactivated </w:t>
      </w:r>
      <w:r w:rsidR="00814CA7">
        <w:t>BWP</w:t>
      </w:r>
      <w:r w:rsidR="00463F17">
        <w:t>. Some of the behavior may not be applicable, for example, about flushing HARQ buffer because zero BWP cannot support data.</w:t>
      </w:r>
    </w:p>
    <w:p w14:paraId="12F1ACFD" w14:textId="2E75810E" w:rsidR="00FE326E" w:rsidRPr="00394E57" w:rsidRDefault="00FE326E" w:rsidP="00FE326E">
      <w:pPr>
        <w:rPr>
          <w:b/>
          <w:bCs/>
          <w:szCs w:val="22"/>
          <w:lang w:val="en-GB"/>
        </w:rPr>
      </w:pPr>
      <w:r>
        <w:rPr>
          <w:b/>
          <w:bCs/>
          <w:szCs w:val="22"/>
          <w:lang w:val="en-GB"/>
        </w:rPr>
        <w:t xml:space="preserve">RAN2 #99bis </w:t>
      </w:r>
      <w:r w:rsidRPr="00394E57">
        <w:rPr>
          <w:b/>
          <w:bCs/>
          <w:szCs w:val="22"/>
          <w:lang w:val="en-GB"/>
        </w:rPr>
        <w:t>Agre</w:t>
      </w:r>
      <w:r>
        <w:rPr>
          <w:b/>
          <w:bCs/>
          <w:szCs w:val="22"/>
          <w:lang w:val="en-GB"/>
        </w:rPr>
        <w:t>ement</w:t>
      </w:r>
      <w:r w:rsidR="00687A5E">
        <w:rPr>
          <w:b/>
          <w:bCs/>
          <w:szCs w:val="22"/>
          <w:lang w:val="en-GB"/>
        </w:rPr>
        <w:t xml:space="preserve"> </w:t>
      </w:r>
      <w:r w:rsidR="00854A0C">
        <w:rPr>
          <w:b/>
          <w:bCs/>
          <w:szCs w:val="22"/>
          <w:lang w:val="en-GB"/>
        </w:rPr>
        <w:fldChar w:fldCharType="begin"/>
      </w:r>
      <w:r w:rsidR="00854A0C">
        <w:rPr>
          <w:b/>
          <w:bCs/>
          <w:szCs w:val="22"/>
          <w:lang w:val="en-GB"/>
        </w:rPr>
        <w:instrText xml:space="preserve"> REF _Ref496029405 \r \h </w:instrText>
      </w:r>
      <w:r w:rsidR="00854A0C">
        <w:rPr>
          <w:b/>
          <w:bCs/>
          <w:szCs w:val="22"/>
          <w:lang w:val="en-GB"/>
        </w:rPr>
      </w:r>
      <w:r w:rsidR="00854A0C">
        <w:rPr>
          <w:b/>
          <w:bCs/>
          <w:szCs w:val="22"/>
          <w:lang w:val="en-GB"/>
        </w:rPr>
        <w:fldChar w:fldCharType="separate"/>
      </w:r>
      <w:r w:rsidR="00887472">
        <w:rPr>
          <w:b/>
          <w:bCs/>
          <w:szCs w:val="22"/>
          <w:lang w:val="en-GB"/>
        </w:rPr>
        <w:t>[6]</w:t>
      </w:r>
      <w:r w:rsidR="00854A0C">
        <w:rPr>
          <w:b/>
          <w:bCs/>
          <w:szCs w:val="22"/>
          <w:lang w:val="en-GB"/>
        </w:rPr>
        <w:fldChar w:fldCharType="end"/>
      </w:r>
      <w:r w:rsidRPr="00394E57">
        <w:rPr>
          <w:b/>
          <w:bCs/>
          <w:szCs w:val="22"/>
          <w:lang w:val="en-GB"/>
        </w:rPr>
        <w:t>:</w:t>
      </w:r>
    </w:p>
    <w:p w14:paraId="5C861D95" w14:textId="77777777" w:rsidR="00FE326E" w:rsidRPr="00394E57" w:rsidRDefault="00FE326E" w:rsidP="00FE326E">
      <w:pPr>
        <w:pStyle w:val="ListParagraph"/>
        <w:numPr>
          <w:ilvl w:val="0"/>
          <w:numId w:val="39"/>
        </w:numPr>
        <w:spacing w:after="0"/>
      </w:pPr>
      <w:r w:rsidRPr="00394E57">
        <w:t>Behaviour on the BWP that is deactivated</w:t>
      </w:r>
    </w:p>
    <w:p w14:paraId="2029B566" w14:textId="77777777" w:rsidR="00FE326E" w:rsidRDefault="00FE326E" w:rsidP="00FE326E">
      <w:pPr>
        <w:pStyle w:val="ListParagraph"/>
        <w:numPr>
          <w:ilvl w:val="1"/>
          <w:numId w:val="39"/>
        </w:numPr>
        <w:spacing w:after="0"/>
      </w:pPr>
      <w:r w:rsidRPr="00394E57">
        <w:t>not transmit on UL-SCH on the BWP;</w:t>
      </w:r>
    </w:p>
    <w:p w14:paraId="7B20BC7A" w14:textId="77777777" w:rsidR="00FE326E" w:rsidRDefault="00FE326E" w:rsidP="00FE326E">
      <w:pPr>
        <w:pStyle w:val="ListParagraph"/>
        <w:numPr>
          <w:ilvl w:val="1"/>
          <w:numId w:val="39"/>
        </w:numPr>
        <w:spacing w:after="0"/>
      </w:pPr>
      <w:r w:rsidRPr="00394E57">
        <w:t>not monitor the PDCCH on the BWP;</w:t>
      </w:r>
    </w:p>
    <w:p w14:paraId="31EB9DE4" w14:textId="77777777" w:rsidR="00FE326E" w:rsidRDefault="00FE326E" w:rsidP="00FE326E">
      <w:pPr>
        <w:pStyle w:val="ListParagraph"/>
        <w:numPr>
          <w:ilvl w:val="1"/>
          <w:numId w:val="39"/>
        </w:numPr>
        <w:spacing w:after="0"/>
      </w:pPr>
      <w:r w:rsidRPr="00394E57">
        <w:t>not transmit PUCCH on the BWP;</w:t>
      </w:r>
    </w:p>
    <w:p w14:paraId="23ED8DCA" w14:textId="77777777" w:rsidR="00FE326E" w:rsidRDefault="00FE326E" w:rsidP="00FE326E">
      <w:pPr>
        <w:pStyle w:val="ListParagraph"/>
        <w:numPr>
          <w:ilvl w:val="1"/>
          <w:numId w:val="39"/>
        </w:numPr>
        <w:spacing w:after="0"/>
      </w:pPr>
      <w:r w:rsidRPr="00394E57">
        <w:t>not transmit on PRACH on the BWP;</w:t>
      </w:r>
    </w:p>
    <w:p w14:paraId="0A9FA2EF" w14:textId="30D985C4" w:rsidR="00FE326E" w:rsidRDefault="00FE326E" w:rsidP="00FE326E">
      <w:pPr>
        <w:pStyle w:val="ListParagraph"/>
        <w:numPr>
          <w:ilvl w:val="1"/>
          <w:numId w:val="39"/>
        </w:numPr>
        <w:spacing w:after="0"/>
      </w:pPr>
      <w:r w:rsidRPr="00FE326E">
        <w:t>do not flush HARQ buffers when doing BWP switching (unless an issue is identified)</w:t>
      </w:r>
    </w:p>
    <w:p w14:paraId="1EBE5AF1" w14:textId="77777777" w:rsidR="00FE326E" w:rsidRDefault="00FE326E" w:rsidP="0053268B">
      <w:pPr>
        <w:overflowPunct/>
        <w:autoSpaceDE/>
        <w:autoSpaceDN/>
        <w:adjustRightInd/>
        <w:spacing w:after="240"/>
        <w:textAlignment w:val="auto"/>
      </w:pPr>
    </w:p>
    <w:p w14:paraId="424D8FE1" w14:textId="3514A509" w:rsidR="00FE326E" w:rsidRDefault="00FE326E" w:rsidP="0053268B">
      <w:pPr>
        <w:overflowPunct/>
        <w:autoSpaceDE/>
        <w:autoSpaceDN/>
        <w:adjustRightInd/>
        <w:spacing w:after="240"/>
        <w:textAlignment w:val="auto"/>
      </w:pPr>
      <w:r>
        <w:t xml:space="preserve">On the other hand, </w:t>
      </w:r>
      <w:r w:rsidR="00F33DF0">
        <w:t xml:space="preserve">for a </w:t>
      </w:r>
      <w:r>
        <w:t>SCell</w:t>
      </w:r>
      <w:r w:rsidR="00463F17">
        <w:t xml:space="preserve"> with zero BWP activated</w:t>
      </w:r>
      <w:r w:rsidR="00687A5E">
        <w:t>, gap-based operations</w:t>
      </w:r>
      <w:r>
        <w:t xml:space="preserve"> may still be supported</w:t>
      </w:r>
      <w:r w:rsidR="00F33DF0">
        <w:t xml:space="preserve"> because they are independent of BWP configuration</w:t>
      </w:r>
      <w:r>
        <w:t>. RRM measurement</w:t>
      </w:r>
      <w:r w:rsidR="00463F17">
        <w:t xml:space="preserve"> is an example</w:t>
      </w:r>
      <w:r>
        <w:t>.</w:t>
      </w:r>
      <w:r w:rsidR="009A4EA0">
        <w:t xml:space="preserve"> RF transition latency would be defined for the gap, so discussion can be outside of the context of BWP.</w:t>
      </w:r>
    </w:p>
    <w:p w14:paraId="767F3A17" w14:textId="014B87C4" w:rsidR="00854A0C" w:rsidRDefault="00854A0C" w:rsidP="006A76A6">
      <w:pPr>
        <w:pStyle w:val="Caption"/>
      </w:pPr>
      <w:bookmarkStart w:id="26" w:name="_Toc498707156"/>
      <w:bookmarkStart w:id="27" w:name="_Toc498707446"/>
      <w:bookmarkStart w:id="28" w:name="_Toc498707458"/>
      <w:bookmarkStart w:id="29" w:name="_Toc498707739"/>
      <w:bookmarkStart w:id="30" w:name="_Toc498708150"/>
      <w:bookmarkStart w:id="31" w:name="_Toc498708250"/>
      <w:bookmarkStart w:id="32" w:name="_Toc498708416"/>
      <w:bookmarkStart w:id="33" w:name="_Toc498714717"/>
      <w:bookmarkStart w:id="34" w:name="_Toc498714734"/>
      <w:bookmarkStart w:id="35" w:name="_Toc498716902"/>
      <w:bookmarkStart w:id="36" w:name="_Toc498716967"/>
      <w:bookmarkStart w:id="37" w:name="_Toc498720470"/>
      <w:bookmarkStart w:id="38" w:name="_Toc498720506"/>
      <w:r>
        <w:t xml:space="preserve">Proposal </w:t>
      </w:r>
      <w:fldSimple w:instr=" SEQ Proposal \* ARABIC ">
        <w:r w:rsidR="00887472">
          <w:rPr>
            <w:noProof/>
          </w:rPr>
          <w:t>2</w:t>
        </w:r>
      </w:fldSimple>
      <w:r>
        <w:t xml:space="preserve">: Zero BWP can become the active BWP on an activated SCell to </w:t>
      </w:r>
      <w:r w:rsidR="00F33DF0">
        <w:t xml:space="preserve">gate off </w:t>
      </w:r>
      <w:r>
        <w:t>operations that require an activated BWP</w:t>
      </w:r>
      <w:r w:rsidR="00317919">
        <w:t>, in order</w:t>
      </w:r>
      <w:r w:rsidR="0057621D">
        <w:t xml:space="preserve"> to </w:t>
      </w:r>
      <w:r w:rsidR="00317919">
        <w:t xml:space="preserve">enable </w:t>
      </w:r>
      <w:r w:rsidR="0057621D">
        <w:t>power saving</w:t>
      </w:r>
      <w:r>
        <w:t>.</w:t>
      </w:r>
      <w:bookmarkEnd w:id="26"/>
      <w:bookmarkEnd w:id="27"/>
      <w:bookmarkEnd w:id="28"/>
      <w:bookmarkEnd w:id="29"/>
      <w:bookmarkEnd w:id="30"/>
      <w:bookmarkEnd w:id="31"/>
      <w:bookmarkEnd w:id="32"/>
      <w:bookmarkEnd w:id="33"/>
      <w:bookmarkEnd w:id="34"/>
      <w:bookmarkEnd w:id="35"/>
      <w:bookmarkEnd w:id="36"/>
      <w:bookmarkEnd w:id="37"/>
      <w:bookmarkEnd w:id="38"/>
    </w:p>
    <w:p w14:paraId="0B016680" w14:textId="2CA87F10" w:rsidR="00854A0C" w:rsidRDefault="00854A0C" w:rsidP="00854A0C">
      <w:pPr>
        <w:pStyle w:val="Caption"/>
        <w:rPr>
          <w:b w:val="0"/>
        </w:rPr>
      </w:pPr>
      <w:bookmarkStart w:id="39" w:name="_Toc498707157"/>
      <w:bookmarkStart w:id="40" w:name="_Toc498707447"/>
      <w:bookmarkStart w:id="41" w:name="_Toc498707459"/>
      <w:bookmarkStart w:id="42" w:name="_Toc498707740"/>
      <w:bookmarkStart w:id="43" w:name="_Toc498708151"/>
      <w:bookmarkStart w:id="44" w:name="_Toc498708251"/>
      <w:bookmarkStart w:id="45" w:name="_Toc498708417"/>
      <w:bookmarkStart w:id="46" w:name="_Toc498714718"/>
      <w:bookmarkStart w:id="47" w:name="_Toc498714735"/>
      <w:bookmarkStart w:id="48" w:name="_Toc498716903"/>
      <w:bookmarkStart w:id="49" w:name="_Toc498716968"/>
      <w:bookmarkStart w:id="50" w:name="_Toc498720471"/>
      <w:bookmarkStart w:id="51" w:name="_Toc498720507"/>
      <w:r>
        <w:t xml:space="preserve">Proposal </w:t>
      </w:r>
      <w:r w:rsidR="00C51A6A">
        <w:fldChar w:fldCharType="begin"/>
      </w:r>
      <w:r w:rsidR="00C51A6A">
        <w:instrText xml:space="preserve"> SEQ Proposal \* ARABIC </w:instrText>
      </w:r>
      <w:r w:rsidR="00C51A6A">
        <w:fldChar w:fldCharType="separate"/>
      </w:r>
      <w:r w:rsidR="00887472">
        <w:rPr>
          <w:noProof/>
        </w:rPr>
        <w:t>3</w:t>
      </w:r>
      <w:r w:rsidR="00C51A6A">
        <w:rPr>
          <w:noProof/>
        </w:rPr>
        <w:fldChar w:fldCharType="end"/>
      </w:r>
      <w:r>
        <w:t>: Zero BWP can be configured as the default DL BWP on a SCell. Zero BWP is not allowed to be configured as the first active BWP on a SCell.</w:t>
      </w:r>
      <w:bookmarkEnd w:id="39"/>
      <w:bookmarkEnd w:id="40"/>
      <w:bookmarkEnd w:id="41"/>
      <w:bookmarkEnd w:id="42"/>
      <w:bookmarkEnd w:id="43"/>
      <w:bookmarkEnd w:id="44"/>
      <w:bookmarkEnd w:id="45"/>
      <w:bookmarkEnd w:id="46"/>
      <w:bookmarkEnd w:id="47"/>
      <w:bookmarkEnd w:id="48"/>
      <w:bookmarkEnd w:id="49"/>
      <w:bookmarkEnd w:id="50"/>
      <w:bookmarkEnd w:id="51"/>
    </w:p>
    <w:p w14:paraId="614B24E0" w14:textId="729CCC89" w:rsidR="00FE326E" w:rsidRDefault="00BF57C6" w:rsidP="0053268B">
      <w:pPr>
        <w:overflowPunct/>
        <w:autoSpaceDE/>
        <w:autoSpaceDN/>
        <w:adjustRightInd/>
        <w:spacing w:after="240"/>
        <w:textAlignment w:val="auto"/>
      </w:pPr>
      <w:r>
        <w:t>When a SCell is deactivated</w:t>
      </w:r>
      <w:r w:rsidR="00410700">
        <w:t xml:space="preserve"> (e.g. by MAC-CE or SCell timer expiration)</w:t>
      </w:r>
      <w:r>
        <w:t xml:space="preserve">, all BWP associated with the SCell is deactivated. </w:t>
      </w:r>
      <w:r w:rsidR="00463F17">
        <w:t>Only activated SCell can have zero BWP or any other BWP as activated.</w:t>
      </w:r>
    </w:p>
    <w:p w14:paraId="3EF762F9" w14:textId="1949A423" w:rsidR="00BF57C6" w:rsidRDefault="00BF57C6" w:rsidP="0053268B">
      <w:pPr>
        <w:overflowPunct/>
        <w:autoSpaceDE/>
        <w:autoSpaceDN/>
        <w:adjustRightInd/>
        <w:spacing w:after="240"/>
        <w:textAlignment w:val="auto"/>
      </w:pPr>
    </w:p>
    <w:p w14:paraId="392A9DCB" w14:textId="5AAA794F" w:rsidR="00BF57C6" w:rsidRDefault="00386205" w:rsidP="003A3C4B">
      <w:pPr>
        <w:pStyle w:val="Heading2"/>
      </w:pPr>
      <w:r>
        <w:t>DCI Signaling for SCell Zero-BWP</w:t>
      </w:r>
      <w:r w:rsidR="002C493A">
        <w:t xml:space="preserve"> Switching</w:t>
      </w:r>
    </w:p>
    <w:p w14:paraId="1697CDD8" w14:textId="10906450" w:rsidR="00B54126" w:rsidRDefault="002C493A" w:rsidP="003A3C4B">
      <w:r>
        <w:t xml:space="preserve">When the SCell’s </w:t>
      </w:r>
      <w:r w:rsidR="003A3C4B">
        <w:t>zero BWP</w:t>
      </w:r>
      <w:r>
        <w:t xml:space="preserve"> is activated</w:t>
      </w:r>
      <w:r w:rsidR="003A3C4B">
        <w:t>, UE does not monitor PDCCH</w:t>
      </w:r>
      <w:r>
        <w:t xml:space="preserve"> on the SCell</w:t>
      </w:r>
      <w:r w:rsidR="003A3C4B">
        <w:t xml:space="preserve">, and it would not be possible to trigger BWP switching </w:t>
      </w:r>
      <w:r>
        <w:t>for</w:t>
      </w:r>
      <w:r w:rsidR="003A3C4B">
        <w:t xml:space="preserve"> the SCell based on signaling within the SCell. Obviously, if cross-carrier scheduling is enabled, a BWP switching DCI can be transmitted on PCell to schedule (and switch the BWP</w:t>
      </w:r>
      <w:r w:rsidR="00917E0A">
        <w:t xml:space="preserve"> of</w:t>
      </w:r>
      <w:r w:rsidR="003A3C4B">
        <w:t xml:space="preserve">) the SCell indicated by the CIF. However, the disadvantage of this approach are two folds: (i) Dependency on the cross-carrier scheduling feature for SCell </w:t>
      </w:r>
      <w:r>
        <w:t xml:space="preserve">zero-BWP switching </w:t>
      </w:r>
      <w:r w:rsidR="003A3C4B">
        <w:t>is undesirable, (ii) group SC</w:t>
      </w:r>
      <w:r w:rsidR="00B54126">
        <w:t>ell signaling is not supported.</w:t>
      </w:r>
      <w:r w:rsidR="00BA1731">
        <w:t xml:space="preserve"> For simplicity, support for SCell </w:t>
      </w:r>
      <w:r>
        <w:t xml:space="preserve">zero-BWP switching </w:t>
      </w:r>
      <w:r w:rsidR="00BA1731">
        <w:t>with cross-carrier scheduling feature enabled will not be further discussed in this contribution.</w:t>
      </w:r>
    </w:p>
    <w:p w14:paraId="7A21BAA1" w14:textId="593DC9BC" w:rsidR="003A3C4B" w:rsidRPr="003A3C4B" w:rsidRDefault="00BA1731" w:rsidP="003A3C4B">
      <w:pPr>
        <w:rPr>
          <w:lang w:val="en-GB"/>
        </w:rPr>
      </w:pPr>
      <w:r>
        <w:t>A</w:t>
      </w:r>
      <w:r w:rsidR="00B54126">
        <w:t xml:space="preserve"> better </w:t>
      </w:r>
      <w:r>
        <w:t xml:space="preserve">alternative </w:t>
      </w:r>
      <w:r w:rsidR="003A3C4B">
        <w:t xml:space="preserve">is to enhance the BWP switching DCI on the PCell to carry SCell control bitmap. Through the bitmap, individual SCells can </w:t>
      </w:r>
      <w:r w:rsidR="00B54126">
        <w:t xml:space="preserve">be signaled to </w:t>
      </w:r>
      <w:r w:rsidR="003A3C4B">
        <w:t xml:space="preserve">transition to another BWP from the zero BWP. To conserve the number of bits used for the bitmap, one bit can be assigned to each SCell; If the bit is set, the SCell is transitioned to the first active BWP which is preconfigured. Also, </w:t>
      </w:r>
      <w:r w:rsidR="00D9254D">
        <w:t xml:space="preserve">as a further optimization, </w:t>
      </w:r>
      <w:r w:rsidR="003A3C4B">
        <w:t>only activated SCell may be mapped to this bitmap.</w:t>
      </w:r>
    </w:p>
    <w:p w14:paraId="31DE6C69" w14:textId="3C004768" w:rsidR="003A3C4B" w:rsidRDefault="00B54126" w:rsidP="0053268B">
      <w:pPr>
        <w:overflowPunct/>
        <w:autoSpaceDE/>
        <w:autoSpaceDN/>
        <w:adjustRightInd/>
        <w:spacing w:after="240"/>
        <w:textAlignment w:val="auto"/>
      </w:pPr>
      <w:r>
        <w:t xml:space="preserve">Another advantage of this scheme is that group SCell BWP signaling can be done in a single DCI. Suppose N SCells need to be signaled, N bits for the bitmap would be required in the DCI. The same BWP switching DCI purported for PCell scheduling and BWP </w:t>
      </w:r>
      <w:r w:rsidR="00F33DF0">
        <w:t>identification</w:t>
      </w:r>
      <w:r>
        <w:t xml:space="preserve"> can be reused. In order to reclaim more bits for the SCell control bitmap, the DCI should support zero assignment, so that other fields including MCS, </w:t>
      </w:r>
      <w:r w:rsidR="00B41BEE">
        <w:t xml:space="preserve">HARQ ID, </w:t>
      </w:r>
      <w:r>
        <w:t xml:space="preserve">RV, are </w:t>
      </w:r>
      <w:r w:rsidR="00F33DF0">
        <w:t xml:space="preserve">conditionally reclaimed and used to hold </w:t>
      </w:r>
      <w:r>
        <w:t xml:space="preserve">the SCell control bitmap. The same C-RNTI for the DCI can be used, </w:t>
      </w:r>
      <w:r w:rsidR="002C493A">
        <w:t>and</w:t>
      </w:r>
      <w:r>
        <w:t xml:space="preserve"> interpretation of the DCI content is based on a decision tree. The process is similar to the DCI for LTE SPS activation/release validation.</w:t>
      </w:r>
    </w:p>
    <w:p w14:paraId="59145F22" w14:textId="2DEB52AD" w:rsidR="00B41BEE" w:rsidRPr="00B41BEE" w:rsidRDefault="00B41BEE" w:rsidP="00B41BEE">
      <w:pPr>
        <w:overflowPunct/>
        <w:autoSpaceDE/>
        <w:autoSpaceDN/>
        <w:adjustRightInd/>
        <w:spacing w:after="240"/>
        <w:textAlignment w:val="auto"/>
      </w:pPr>
      <w:r w:rsidRPr="00B41BEE">
        <w:t>Taking LTE DCI format 1 as an example (</w:t>
      </w:r>
      <w:r w:rsidR="00DA4788">
        <w:t>as</w:t>
      </w:r>
      <w:r w:rsidRPr="00B41BEE">
        <w:t xml:space="preserve"> NR DCI format is </w:t>
      </w:r>
      <w:r>
        <w:t xml:space="preserve">not </w:t>
      </w:r>
      <w:r w:rsidR="00DA4788">
        <w:t xml:space="preserve">yet </w:t>
      </w:r>
      <w:r>
        <w:t>finalized</w:t>
      </w:r>
      <w:r w:rsidRPr="00B41BEE">
        <w:t>), bit field configuration as follows:</w:t>
      </w:r>
    </w:p>
    <w:p w14:paraId="6C7D9295" w14:textId="77777777" w:rsidR="00B41BEE" w:rsidRDefault="00B41BEE" w:rsidP="00B41BEE">
      <w:pPr>
        <w:pStyle w:val="ListParagraph"/>
        <w:numPr>
          <w:ilvl w:val="0"/>
          <w:numId w:val="40"/>
        </w:numPr>
        <w:spacing w:after="240"/>
      </w:pPr>
      <w:r w:rsidRPr="00B41BEE">
        <w:t>1 bit for Type 0/1 RA, 25 bits for RA (for 20MHz BW), 5 bits for MCS, 3~4 bits for HARQ ID, 2 bits for RV, 2 bits for PUCCH</w:t>
      </w:r>
    </w:p>
    <w:p w14:paraId="455E6740" w14:textId="0B2B0BDB" w:rsidR="00B54126" w:rsidRDefault="002C493A" w:rsidP="00B41BEE">
      <w:pPr>
        <w:pStyle w:val="ListParagraph"/>
        <w:numPr>
          <w:ilvl w:val="0"/>
          <w:numId w:val="40"/>
        </w:numPr>
        <w:spacing w:after="240"/>
      </w:pPr>
      <w:r>
        <w:t xml:space="preserve">Assume </w:t>
      </w:r>
      <w:r w:rsidR="00B41BEE" w:rsidRPr="00B41BEE">
        <w:t xml:space="preserve">2 bit field for BWP ID </w:t>
      </w:r>
      <w:r>
        <w:t>is also added</w:t>
      </w:r>
    </w:p>
    <w:p w14:paraId="6D9F21EE" w14:textId="73CB8281" w:rsidR="008A288A" w:rsidRDefault="008A288A" w:rsidP="00B41BEE">
      <w:pPr>
        <w:spacing w:after="240"/>
      </w:pPr>
      <w:r>
        <w:t>For normal PCell BWP switching signaling, two modes should be supported: (i) W</w:t>
      </w:r>
      <w:r w:rsidRPr="008A288A">
        <w:t>ith scheduling</w:t>
      </w:r>
      <w:r>
        <w:t>:</w:t>
      </w:r>
      <w:r w:rsidRPr="008A288A">
        <w:t xml:space="preserve"> BWP ID is populated with the target BWP ID, the rest of the fields is simply a DL grant</w:t>
      </w:r>
      <w:r>
        <w:t xml:space="preserve">; (ii) Without scheduling: </w:t>
      </w:r>
      <w:r w:rsidRPr="008A288A">
        <w:t>Indicated by zero-RA and type 0 RA. MCS, HARQ ID, RV fields should be zero.</w:t>
      </w:r>
      <w:r>
        <w:t xml:space="preserve"> As of the status up to RAN1 #90bis meeting, (i) is agreed and support for (ii) still requires more discussion. The benefit of (ii) is evident – it allows BWP switching without scheduling, which could be useful for cases where CSI feedback is stale, and gNB may not want to schedule to the UE until CSI is reported.</w:t>
      </w:r>
    </w:p>
    <w:p w14:paraId="1640DDDA" w14:textId="219B4426" w:rsidR="00B54126" w:rsidRDefault="008A288A" w:rsidP="0053268B">
      <w:pPr>
        <w:overflowPunct/>
        <w:autoSpaceDE/>
        <w:autoSpaceDN/>
        <w:adjustRightInd/>
        <w:spacing w:after="240"/>
        <w:textAlignment w:val="auto"/>
      </w:pPr>
      <w:r>
        <w:t xml:space="preserve">For SCell gating based on BWP switching </w:t>
      </w:r>
      <w:r w:rsidR="00EA6FAE">
        <w:t>DCI signaling, there are two cases to consider.</w:t>
      </w:r>
    </w:p>
    <w:p w14:paraId="5C922C3C" w14:textId="08E5E99B" w:rsidR="00EA6FAE" w:rsidRDefault="002C493A" w:rsidP="00BA1731">
      <w:pPr>
        <w:pStyle w:val="ListParagraph"/>
        <w:numPr>
          <w:ilvl w:val="0"/>
          <w:numId w:val="41"/>
        </w:numPr>
        <w:spacing w:after="240"/>
      </w:pPr>
      <w:r>
        <w:t>SCell switching to zero BWP</w:t>
      </w:r>
      <w:r w:rsidR="00BA1731">
        <w:t>:</w:t>
      </w:r>
    </w:p>
    <w:p w14:paraId="644A76B7" w14:textId="344AB9B6" w:rsidR="00BA1731" w:rsidRDefault="00BA1731" w:rsidP="00BA1731">
      <w:pPr>
        <w:pStyle w:val="ListParagraph"/>
        <w:numPr>
          <w:ilvl w:val="1"/>
          <w:numId w:val="41"/>
        </w:numPr>
        <w:spacing w:after="240"/>
      </w:pPr>
      <w:r>
        <w:t>BWP switching DCI on SCell indicates that zero BWP should be activated. This DCI should carry zero-RA because it is useless to allocate resources on a zero BWP.</w:t>
      </w:r>
    </w:p>
    <w:p w14:paraId="56AE11D2" w14:textId="404CF3F8" w:rsidR="00792173" w:rsidRDefault="00792173" w:rsidP="00792173">
      <w:pPr>
        <w:pStyle w:val="ListParagraph"/>
        <w:numPr>
          <w:ilvl w:val="2"/>
          <w:numId w:val="41"/>
        </w:numPr>
        <w:spacing w:after="240"/>
      </w:pPr>
      <w:r>
        <w:t xml:space="preserve">Additionally, </w:t>
      </w:r>
      <w:r w:rsidR="00D61652">
        <w:t xml:space="preserve">UE is expected to send HARQ </w:t>
      </w:r>
      <w:r>
        <w:t>acknowledgement on the configured PUCCH resource associated with the DCI (which is based on a DL grant).</w:t>
      </w:r>
    </w:p>
    <w:p w14:paraId="3A780B75" w14:textId="6B3A786D" w:rsidR="00BA1731" w:rsidRDefault="00BA1731" w:rsidP="00BA1731">
      <w:pPr>
        <w:pStyle w:val="ListParagraph"/>
        <w:numPr>
          <w:ilvl w:val="0"/>
          <w:numId w:val="41"/>
        </w:numPr>
        <w:spacing w:after="240"/>
      </w:pPr>
      <w:r>
        <w:t xml:space="preserve">SCell </w:t>
      </w:r>
      <w:r w:rsidR="002C493A">
        <w:t>switching out of zero BWP</w:t>
      </w:r>
      <w:r>
        <w:t>:</w:t>
      </w:r>
    </w:p>
    <w:p w14:paraId="3D005501" w14:textId="7646A26A" w:rsidR="00BA1731" w:rsidRDefault="00BA1731" w:rsidP="00BA1731">
      <w:pPr>
        <w:pStyle w:val="ListParagraph"/>
        <w:numPr>
          <w:ilvl w:val="1"/>
          <w:numId w:val="41"/>
        </w:numPr>
        <w:spacing w:after="240"/>
      </w:pPr>
      <w:r>
        <w:t>BWP switching DCI on PCell carries the SCell control bitmap. This DCI carries zero-RA for the PCell, and further includes an SCell control indicator in addition to the SCell control bitmap. The BWP ID field is present and it applies to which BWP on PCell should get activated.</w:t>
      </w:r>
    </w:p>
    <w:p w14:paraId="04D12DFD" w14:textId="464D0CA1" w:rsidR="00792173" w:rsidRDefault="00792173" w:rsidP="00792173">
      <w:pPr>
        <w:pStyle w:val="ListParagraph"/>
        <w:numPr>
          <w:ilvl w:val="2"/>
          <w:numId w:val="41"/>
        </w:numPr>
        <w:spacing w:after="240"/>
      </w:pPr>
      <w:r>
        <w:t xml:space="preserve">Additionally, </w:t>
      </w:r>
      <w:r w:rsidR="00D61652">
        <w:t xml:space="preserve">UE is expected to send HARQ </w:t>
      </w:r>
      <w:r>
        <w:t>acknowledgement on the configured PUCCH resource associated with the DCI (which is based on a DL grant).</w:t>
      </w:r>
    </w:p>
    <w:p w14:paraId="37A89869" w14:textId="5653A9E8" w:rsidR="00BA1731" w:rsidRDefault="00BA1731" w:rsidP="00BA1731">
      <w:pPr>
        <w:pStyle w:val="ListParagraph"/>
        <w:numPr>
          <w:ilvl w:val="1"/>
          <w:numId w:val="41"/>
        </w:numPr>
        <w:spacing w:after="240"/>
      </w:pPr>
      <w:r>
        <w:t xml:space="preserve">The following is </w:t>
      </w:r>
      <w:r w:rsidR="00792173">
        <w:t>an illustration of the</w:t>
      </w:r>
      <w:r>
        <w:t xml:space="preserve"> decision tree for interpretation/parsing of the BWP switching DCI:</w:t>
      </w:r>
    </w:p>
    <w:p w14:paraId="62AA018C" w14:textId="3B231EFE" w:rsidR="00792173" w:rsidRDefault="00792173" w:rsidP="00792173">
      <w:pPr>
        <w:pStyle w:val="ListParagraph"/>
        <w:numPr>
          <w:ilvl w:val="0"/>
          <w:numId w:val="0"/>
        </w:numPr>
        <w:spacing w:after="240"/>
        <w:ind w:left="1440"/>
      </w:pPr>
      <w:r>
        <w:rPr>
          <w:noProof/>
        </w:rPr>
        <w:lastRenderedPageBreak/>
        <w:drawing>
          <wp:inline distT="0" distB="0" distL="0" distR="0" wp14:anchorId="4D68C46C" wp14:editId="47444E62">
            <wp:extent cx="2221992" cy="3392424"/>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21992" cy="3392424"/>
                    </a:xfrm>
                    <a:prstGeom prst="rect">
                      <a:avLst/>
                    </a:prstGeom>
                    <a:noFill/>
                  </pic:spPr>
                </pic:pic>
              </a:graphicData>
            </a:graphic>
          </wp:inline>
        </w:drawing>
      </w:r>
    </w:p>
    <w:p w14:paraId="4AE4C24D" w14:textId="5D184737" w:rsidR="000F7D65" w:rsidRDefault="000F7D65" w:rsidP="000F7D65">
      <w:pPr>
        <w:pStyle w:val="ListParagraph"/>
        <w:numPr>
          <w:ilvl w:val="1"/>
          <w:numId w:val="41"/>
        </w:numPr>
        <w:spacing w:after="240"/>
      </w:pPr>
      <w:r>
        <w:t xml:space="preserve">The existence of the following fields </w:t>
      </w:r>
      <w:r w:rsidR="007F7DCC">
        <w:t>is</w:t>
      </w:r>
      <w:r>
        <w:t xml:space="preserve"> dependent on zero-RA:</w:t>
      </w:r>
    </w:p>
    <w:p w14:paraId="3E4CF2C2" w14:textId="42AFC677" w:rsidR="000F7D65" w:rsidRDefault="000F7D65" w:rsidP="000F7D65">
      <w:pPr>
        <w:pStyle w:val="ListParagraph"/>
        <w:numPr>
          <w:ilvl w:val="2"/>
          <w:numId w:val="41"/>
        </w:numPr>
        <w:spacing w:after="240"/>
      </w:pPr>
      <w:r>
        <w:t>SCell control indicator: If set, it indicates the existence of the SCell control bitmap</w:t>
      </w:r>
    </w:p>
    <w:p w14:paraId="6C5DAC34" w14:textId="565E57E1" w:rsidR="000F7D65" w:rsidRDefault="000F7D65" w:rsidP="000F7D65">
      <w:pPr>
        <w:pStyle w:val="ListParagraph"/>
        <w:numPr>
          <w:ilvl w:val="2"/>
          <w:numId w:val="41"/>
        </w:numPr>
        <w:spacing w:after="240"/>
      </w:pPr>
      <w:r>
        <w:t>SCell control bitmap: Its existence is only dependent on SCell control indicator being set. It is a bitmap consisting of N bits, where N corresponds to the number of SCells whose BWP can be activated based on the setting of the corresponding bits in the bitmap.</w:t>
      </w:r>
    </w:p>
    <w:p w14:paraId="070361A6" w14:textId="2EF02C85" w:rsidR="000F7D65" w:rsidRDefault="000F7D65" w:rsidP="000F7D65">
      <w:pPr>
        <w:pStyle w:val="ListParagraph"/>
        <w:numPr>
          <w:ilvl w:val="3"/>
          <w:numId w:val="41"/>
        </w:numPr>
        <w:spacing w:after="240"/>
      </w:pPr>
      <w:r>
        <w:t>If the bit is set, the corresponding SCell (if activated) would switch to the first active BWP; If the corresponding SCell is not already activated, no action is taken.</w:t>
      </w:r>
    </w:p>
    <w:p w14:paraId="46309A05" w14:textId="45639E01" w:rsidR="000F7D65" w:rsidRDefault="000F7D65" w:rsidP="000F7D65">
      <w:pPr>
        <w:pStyle w:val="ListParagraph"/>
        <w:numPr>
          <w:ilvl w:val="3"/>
          <w:numId w:val="41"/>
        </w:numPr>
        <w:spacing w:after="240"/>
      </w:pPr>
      <w:r>
        <w:t>If the bit is not set, no action is taken for the corresponding SCell</w:t>
      </w:r>
    </w:p>
    <w:p w14:paraId="799C729B" w14:textId="07634C21" w:rsidR="00BA1731" w:rsidRDefault="000F7D65" w:rsidP="00647231">
      <w:pPr>
        <w:pStyle w:val="ListParagraph"/>
        <w:numPr>
          <w:ilvl w:val="3"/>
          <w:numId w:val="41"/>
        </w:numPr>
        <w:spacing w:after="240"/>
      </w:pPr>
      <w:r>
        <w:t>Option for N bits to only correspond to activated SCells</w:t>
      </w:r>
    </w:p>
    <w:p w14:paraId="076C44D7" w14:textId="3D098004" w:rsidR="00647231" w:rsidRDefault="00647231" w:rsidP="00647231">
      <w:pPr>
        <w:pStyle w:val="ListParagraph"/>
        <w:numPr>
          <w:ilvl w:val="2"/>
          <w:numId w:val="41"/>
        </w:numPr>
        <w:spacing w:after="240"/>
      </w:pPr>
      <w:r>
        <w:t>Above fields occupy bits reclaimed from at least the MCS, HARQ ID, and RV fields. Based on LTE for DCI format 1, these fields together constitute about 10 bits.</w:t>
      </w:r>
    </w:p>
    <w:p w14:paraId="3080F41E" w14:textId="491A068D" w:rsidR="00647231" w:rsidRDefault="00647231" w:rsidP="00647231">
      <w:pPr>
        <w:spacing w:after="240"/>
      </w:pPr>
      <w:r>
        <w:t>In principle, RA-field dependent interpretation/parsing of the content of DCI is similar to LTE SPS activation/release validation.</w:t>
      </w:r>
    </w:p>
    <w:p w14:paraId="174D98B7" w14:textId="10C3BDC4" w:rsidR="00647231" w:rsidRDefault="00647231" w:rsidP="00647231">
      <w:pPr>
        <w:spacing w:after="240"/>
      </w:pPr>
      <w:r>
        <w:t xml:space="preserve">If NR supports DCI format indication by which any DCI format can be uniquely identified with a format indicator, above scheme can be greatly simplified. Basically, a new DCI format with the desired SCell control fields can be created, while keeping the same DCI format size as </w:t>
      </w:r>
      <w:r w:rsidR="0023265F">
        <w:t>the monitored DL grant.</w:t>
      </w:r>
    </w:p>
    <w:p w14:paraId="7852088A" w14:textId="1140961C" w:rsidR="00D61652" w:rsidRDefault="00D61652" w:rsidP="00D61652">
      <w:pPr>
        <w:pStyle w:val="Caption"/>
      </w:pPr>
      <w:bookmarkStart w:id="52" w:name="_Toc498464655"/>
      <w:bookmarkStart w:id="53" w:name="_Toc498464673"/>
      <w:bookmarkStart w:id="54" w:name="_Toc498679756"/>
      <w:bookmarkStart w:id="55" w:name="_Toc498680116"/>
      <w:bookmarkStart w:id="56" w:name="_Toc498680596"/>
      <w:bookmarkStart w:id="57" w:name="_Toc498680628"/>
      <w:bookmarkStart w:id="58" w:name="_Toc498680819"/>
      <w:bookmarkStart w:id="59" w:name="_Toc498681349"/>
      <w:bookmarkStart w:id="60" w:name="_Toc498707158"/>
      <w:bookmarkStart w:id="61" w:name="_Toc498707448"/>
      <w:bookmarkStart w:id="62" w:name="_Toc498707460"/>
      <w:bookmarkStart w:id="63" w:name="_Toc498707741"/>
      <w:bookmarkStart w:id="64" w:name="_Toc498708152"/>
      <w:bookmarkStart w:id="65" w:name="_Toc498708252"/>
      <w:bookmarkStart w:id="66" w:name="_Toc498708418"/>
      <w:bookmarkStart w:id="67" w:name="_Toc498714719"/>
      <w:bookmarkStart w:id="68" w:name="_Toc498714736"/>
      <w:bookmarkStart w:id="69" w:name="_Toc498716904"/>
      <w:bookmarkStart w:id="70" w:name="_Toc498716969"/>
      <w:bookmarkStart w:id="71" w:name="_Toc498720472"/>
      <w:bookmarkStart w:id="72" w:name="_Toc498720508"/>
      <w:r>
        <w:t xml:space="preserve">Proposal </w:t>
      </w:r>
      <w:fldSimple w:instr=" SEQ Proposal \* ARABIC ">
        <w:r w:rsidR="00887472">
          <w:rPr>
            <w:noProof/>
          </w:rPr>
          <w:t>4</w:t>
        </w:r>
      </w:fldSimple>
      <w:r>
        <w:t>: Support scheduling DCI with “zero” assignment for active DL</w:t>
      </w:r>
      <w:r w:rsidR="002C493A">
        <w:t xml:space="preserve"> BWP or DL</w:t>
      </w:r>
      <w:r>
        <w:t xml:space="preserve">/UL BWP </w:t>
      </w:r>
      <w:r w:rsidR="002C493A">
        <w:t xml:space="preserve">pair </w:t>
      </w:r>
      <w:r>
        <w:t xml:space="preserve">switching. For DL scheduling DCI, </w:t>
      </w:r>
      <w:r w:rsidRPr="00D61652">
        <w:t>UE is expected to send positive HARQ-ACK for zero-size PDSCH transmission</w:t>
      </w:r>
      <w:r>
        <w:t>.</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47C28434" w14:textId="3F1968C7" w:rsidR="001B0799" w:rsidRDefault="001B0799" w:rsidP="001B0799">
      <w:pPr>
        <w:pStyle w:val="Caption"/>
      </w:pPr>
      <w:bookmarkStart w:id="73" w:name="_Toc498464656"/>
      <w:bookmarkStart w:id="74" w:name="_Toc498464674"/>
      <w:bookmarkStart w:id="75" w:name="_Toc498679757"/>
      <w:bookmarkStart w:id="76" w:name="_Toc498680117"/>
      <w:bookmarkStart w:id="77" w:name="_Toc498680597"/>
      <w:bookmarkStart w:id="78" w:name="_Toc498680629"/>
      <w:bookmarkStart w:id="79" w:name="_Toc498680820"/>
      <w:bookmarkStart w:id="80" w:name="_Toc498681350"/>
      <w:bookmarkStart w:id="81" w:name="_Toc498707159"/>
      <w:bookmarkStart w:id="82" w:name="_Toc498707449"/>
      <w:bookmarkStart w:id="83" w:name="_Toc498707461"/>
      <w:bookmarkStart w:id="84" w:name="_Toc498707742"/>
      <w:bookmarkStart w:id="85" w:name="_Toc498708153"/>
      <w:bookmarkStart w:id="86" w:name="_Toc498708253"/>
      <w:bookmarkStart w:id="87" w:name="_Toc498708419"/>
      <w:bookmarkStart w:id="88" w:name="_Toc498714720"/>
      <w:bookmarkStart w:id="89" w:name="_Toc498714737"/>
      <w:bookmarkStart w:id="90" w:name="_Toc498716905"/>
      <w:bookmarkStart w:id="91" w:name="_Toc498716970"/>
      <w:bookmarkStart w:id="92" w:name="_Toc498720473"/>
      <w:bookmarkStart w:id="93" w:name="_Toc498720509"/>
      <w:r>
        <w:t xml:space="preserve">Proposal </w:t>
      </w:r>
      <w:fldSimple w:instr=" SEQ Proposal \* ARABIC ">
        <w:r w:rsidR="00887472">
          <w:rPr>
            <w:noProof/>
          </w:rPr>
          <w:t>5</w:t>
        </w:r>
      </w:fldSimple>
      <w:r w:rsidR="00533425">
        <w:t xml:space="preserve">: </w:t>
      </w:r>
      <w:r w:rsidR="001678E1">
        <w:t>When gNB sends BWP switching DCI on SCell, it may</w:t>
      </w:r>
      <w:r w:rsidR="002A067D">
        <w:t xml:space="preserve"> indicate</w:t>
      </w:r>
      <w:r w:rsidR="001678E1">
        <w:t xml:space="preserve"> </w:t>
      </w:r>
      <w:r w:rsidR="002A067D">
        <w:t xml:space="preserve">activation of </w:t>
      </w:r>
      <w:r w:rsidR="001678E1">
        <w:t xml:space="preserve">zero-BWP </w:t>
      </w:r>
      <w:r w:rsidR="002C493A">
        <w:t xml:space="preserve">on </w:t>
      </w:r>
      <w:r w:rsidR="001678E1">
        <w:t>the SCell.</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3E6CFF17" w14:textId="7FDE8EF1" w:rsidR="001678E1" w:rsidRPr="001678E1" w:rsidRDefault="001678E1" w:rsidP="001678E1">
      <w:pPr>
        <w:pStyle w:val="Caption"/>
      </w:pPr>
      <w:bookmarkStart w:id="94" w:name="_Toc498464657"/>
      <w:bookmarkStart w:id="95" w:name="_Toc498464675"/>
      <w:bookmarkStart w:id="96" w:name="_Toc498679758"/>
      <w:bookmarkStart w:id="97" w:name="_Toc498680118"/>
      <w:bookmarkStart w:id="98" w:name="_Toc498680598"/>
      <w:bookmarkStart w:id="99" w:name="_Toc498680630"/>
      <w:bookmarkStart w:id="100" w:name="_Toc498680821"/>
      <w:bookmarkStart w:id="101" w:name="_Toc498681351"/>
      <w:bookmarkStart w:id="102" w:name="_Toc498707160"/>
      <w:bookmarkStart w:id="103" w:name="_Toc498707450"/>
      <w:bookmarkStart w:id="104" w:name="_Toc498707462"/>
      <w:bookmarkStart w:id="105" w:name="_Toc498707743"/>
      <w:bookmarkStart w:id="106" w:name="_Toc498708154"/>
      <w:bookmarkStart w:id="107" w:name="_Toc498708254"/>
      <w:bookmarkStart w:id="108" w:name="_Toc498708420"/>
      <w:bookmarkStart w:id="109" w:name="_Toc498714721"/>
      <w:bookmarkStart w:id="110" w:name="_Toc498714738"/>
      <w:bookmarkStart w:id="111" w:name="_Toc498716906"/>
      <w:bookmarkStart w:id="112" w:name="_Toc498716971"/>
      <w:bookmarkStart w:id="113" w:name="_Toc498720474"/>
      <w:bookmarkStart w:id="114" w:name="_Toc498720510"/>
      <w:r>
        <w:t xml:space="preserve">Proposal </w:t>
      </w:r>
      <w:fldSimple w:instr=" SEQ Proposal \* ARABIC ">
        <w:r w:rsidR="00887472">
          <w:rPr>
            <w:noProof/>
          </w:rPr>
          <w:t>6</w:t>
        </w:r>
      </w:fldSimple>
      <w:r>
        <w:t>: When gNB sends BWP switching DCI (with “zero” assignment) on PCell, it may include SCell control indicator and bitmap</w:t>
      </w:r>
      <w:r w:rsidR="00B911E8">
        <w:t xml:space="preserve">, which selects the SCells whose active BWP will be switched to </w:t>
      </w:r>
      <w:r>
        <w:t>the first active BWP</w:t>
      </w:r>
      <w:r w:rsidR="00B911E8">
        <w:t>.</w:t>
      </w:r>
      <w:r w:rsidR="00C02517">
        <w:t xml:space="preserve"> If zero-BWP is the original active BWP, this effectively </w:t>
      </w:r>
      <w:r w:rsidR="00854A0C">
        <w:t xml:space="preserve">brings </w:t>
      </w:r>
      <w:r w:rsidR="00C02517">
        <w:t xml:space="preserve">the SCell out of </w:t>
      </w:r>
      <w:r w:rsidR="002C493A">
        <w:t>zero-BWP</w:t>
      </w:r>
      <w:r w:rsidR="00C02517">
        <w:t>.</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499A1552" w14:textId="12EA57B5" w:rsidR="00BE6038" w:rsidRDefault="00BE6038" w:rsidP="00D22ECC">
      <w:pPr>
        <w:rPr>
          <w:lang w:val="en-GB"/>
        </w:rPr>
      </w:pPr>
      <w:r>
        <w:rPr>
          <w:lang w:val="en-GB"/>
        </w:rPr>
        <w:t>Please also see our companion contribution with discussion on some issues related to BWP</w:t>
      </w:r>
      <w:r w:rsidR="0057621D">
        <w:rPr>
          <w:lang w:val="en-GB"/>
        </w:rPr>
        <w:t xml:space="preserve"> </w:t>
      </w:r>
      <w:r w:rsidR="0057621D">
        <w:rPr>
          <w:lang w:val="en-GB"/>
        </w:rPr>
        <w:fldChar w:fldCharType="begin"/>
      </w:r>
      <w:r w:rsidR="0057621D">
        <w:rPr>
          <w:lang w:val="en-GB"/>
        </w:rPr>
        <w:instrText xml:space="preserve"> REF _Ref498707498 \r \h </w:instrText>
      </w:r>
      <w:r w:rsidR="0057621D">
        <w:rPr>
          <w:lang w:val="en-GB"/>
        </w:rPr>
      </w:r>
      <w:r w:rsidR="0057621D">
        <w:rPr>
          <w:lang w:val="en-GB"/>
        </w:rPr>
        <w:fldChar w:fldCharType="separate"/>
      </w:r>
      <w:r w:rsidR="00887472">
        <w:rPr>
          <w:lang w:val="en-GB"/>
        </w:rPr>
        <w:t>[7]</w:t>
      </w:r>
      <w:r w:rsidR="0057621D">
        <w:rPr>
          <w:lang w:val="en-GB"/>
        </w:rPr>
        <w:fldChar w:fldCharType="end"/>
      </w:r>
      <w:r w:rsidR="002F3C04">
        <w:rPr>
          <w:lang w:val="en-GB"/>
        </w:rPr>
        <w:t xml:space="preserve">, and RAN4 contribution on CA and BWP </w:t>
      </w:r>
      <w:r w:rsidR="002F3C04">
        <w:rPr>
          <w:lang w:val="en-GB"/>
        </w:rPr>
        <w:fldChar w:fldCharType="begin"/>
      </w:r>
      <w:r w:rsidR="002F3C04">
        <w:rPr>
          <w:lang w:val="en-GB"/>
        </w:rPr>
        <w:instrText xml:space="preserve"> REF _Ref494746569 \r \h </w:instrText>
      </w:r>
      <w:r w:rsidR="002F3C04">
        <w:rPr>
          <w:lang w:val="en-GB"/>
        </w:rPr>
      </w:r>
      <w:r w:rsidR="002F3C04">
        <w:rPr>
          <w:lang w:val="en-GB"/>
        </w:rPr>
        <w:fldChar w:fldCharType="separate"/>
      </w:r>
      <w:r w:rsidR="00887472">
        <w:rPr>
          <w:lang w:val="en-GB"/>
        </w:rPr>
        <w:t>[5]</w:t>
      </w:r>
      <w:r w:rsidR="002F3C04">
        <w:rPr>
          <w:lang w:val="en-GB"/>
        </w:rPr>
        <w:fldChar w:fldCharType="end"/>
      </w:r>
      <w:r w:rsidR="002F3C04">
        <w:rPr>
          <w:lang w:val="en-GB"/>
        </w:rPr>
        <w:t>.</w:t>
      </w:r>
    </w:p>
    <w:p w14:paraId="47898FE3" w14:textId="77777777" w:rsidR="006F2F4D" w:rsidRPr="0053268B" w:rsidRDefault="006F2F4D" w:rsidP="0053268B">
      <w:pPr>
        <w:rPr>
          <w:lang w:val="en-GB"/>
        </w:rPr>
      </w:pPr>
    </w:p>
    <w:p w14:paraId="77CEB87C" w14:textId="478C898C" w:rsidR="00F07D39" w:rsidRDefault="006B5A7D" w:rsidP="0053268B">
      <w:pPr>
        <w:pStyle w:val="Heading2"/>
      </w:pPr>
      <w:r>
        <w:lastRenderedPageBreak/>
        <w:t>C-DRX and</w:t>
      </w:r>
      <w:r w:rsidR="00C76C8A">
        <w:t xml:space="preserve"> SCell </w:t>
      </w:r>
      <w:r w:rsidR="00B353D3">
        <w:t>Gating</w:t>
      </w:r>
    </w:p>
    <w:p w14:paraId="7ACBE17E" w14:textId="64F376A1" w:rsidR="00C76C8A" w:rsidRDefault="006B5A7D" w:rsidP="0053268B">
      <w:pPr>
        <w:rPr>
          <w:lang w:val="en-GB"/>
        </w:rPr>
      </w:pPr>
      <w:r>
        <w:rPr>
          <w:lang w:val="en-GB"/>
        </w:rPr>
        <w:t xml:space="preserve">In LTE, because SCell activation/deactivation is signalled via MAC CE, the latency can be quite long. In typical deployment, SCell activation/deactivation is not very dynamic. It would be based on the UE’s </w:t>
      </w:r>
      <w:r w:rsidR="0044596D">
        <w:rPr>
          <w:lang w:val="en-GB"/>
        </w:rPr>
        <w:t>near-term</w:t>
      </w:r>
      <w:r>
        <w:rPr>
          <w:lang w:val="en-GB"/>
        </w:rPr>
        <w:t xml:space="preserve"> traffic loading and/or the basestation’s load-balancing need across carriers.</w:t>
      </w:r>
    </w:p>
    <w:p w14:paraId="0E05F391" w14:textId="2794398C" w:rsidR="001A4B4D" w:rsidRPr="0053268B" w:rsidRDefault="001A4B4D" w:rsidP="0053268B">
      <w:pPr>
        <w:rPr>
          <w:lang w:val="en-GB"/>
        </w:rPr>
      </w:pPr>
      <w:r>
        <w:rPr>
          <w:lang w:val="en-GB"/>
        </w:rPr>
        <w:t xml:space="preserve">Typically, connected mode DRX (C-DRX) is configured for UE power saving, and for mobile broadband, a </w:t>
      </w:r>
      <w:r w:rsidR="00263B75">
        <w:rPr>
          <w:lang w:val="en-GB"/>
        </w:rPr>
        <w:t>typical</w:t>
      </w:r>
      <w:r>
        <w:rPr>
          <w:lang w:val="en-GB"/>
        </w:rPr>
        <w:t xml:space="preserve"> configuration</w:t>
      </w:r>
      <w:r w:rsidR="005A54DF">
        <w:rPr>
          <w:lang w:val="en-GB"/>
        </w:rPr>
        <w:t xml:space="preserve"> in LTE</w:t>
      </w:r>
      <w:r>
        <w:rPr>
          <w:lang w:val="en-GB"/>
        </w:rPr>
        <w:t xml:space="preserve"> is DRX cycle of 320 milliseconds and inactivity timer of 100~200 milliseconds. C-DRX operation is common across component carriers (CC), i.e. if the DRX state is ON duration, then all CC are undergoing the ON duration together. </w:t>
      </w:r>
      <w:bookmarkStart w:id="115" w:name="_Hlk494734875"/>
      <w:r>
        <w:rPr>
          <w:lang w:val="en-GB"/>
        </w:rPr>
        <w:t xml:space="preserve">Based on </w:t>
      </w:r>
      <w:r w:rsidR="00FC2F53">
        <w:rPr>
          <w:lang w:val="en-GB"/>
        </w:rPr>
        <w:t xml:space="preserve">DoU </w:t>
      </w:r>
      <w:r>
        <w:rPr>
          <w:lang w:val="en-GB"/>
        </w:rPr>
        <w:t xml:space="preserve">profiling results, even with C-DRX enabled, UE typically </w:t>
      </w:r>
      <w:r w:rsidR="001F2D17">
        <w:rPr>
          <w:lang w:val="en-GB"/>
        </w:rPr>
        <w:t>consume</w:t>
      </w:r>
      <w:r>
        <w:rPr>
          <w:lang w:val="en-GB"/>
        </w:rPr>
        <w:t>s significant amount of power monitoring PDCCH without decoding any grant</w:t>
      </w:r>
      <w:r w:rsidR="00FC2F53">
        <w:rPr>
          <w:lang w:val="en-GB"/>
        </w:rPr>
        <w:t xml:space="preserve"> </w:t>
      </w:r>
      <w:r w:rsidR="00FC2F53">
        <w:rPr>
          <w:lang w:val="en-GB"/>
        </w:rPr>
        <w:fldChar w:fldCharType="begin"/>
      </w:r>
      <w:r w:rsidR="00FC2F53">
        <w:rPr>
          <w:lang w:val="en-GB"/>
        </w:rPr>
        <w:instrText xml:space="preserve"> REF _Ref494735002 \r \h </w:instrText>
      </w:r>
      <w:r w:rsidR="00FC2F53">
        <w:rPr>
          <w:lang w:val="en-GB"/>
        </w:rPr>
      </w:r>
      <w:r w:rsidR="00FC2F53">
        <w:rPr>
          <w:lang w:val="en-GB"/>
        </w:rPr>
        <w:fldChar w:fldCharType="separate"/>
      </w:r>
      <w:r w:rsidR="00887472">
        <w:rPr>
          <w:lang w:val="en-GB"/>
        </w:rPr>
        <w:t>[3]</w:t>
      </w:r>
      <w:r w:rsidR="00FC2F53">
        <w:rPr>
          <w:lang w:val="en-GB"/>
        </w:rPr>
        <w:fldChar w:fldCharType="end"/>
      </w:r>
      <w:r>
        <w:rPr>
          <w:lang w:val="en-GB"/>
        </w:rPr>
        <w:t xml:space="preserve">. </w:t>
      </w:r>
      <w:bookmarkEnd w:id="115"/>
      <w:r>
        <w:rPr>
          <w:lang w:val="en-GB"/>
        </w:rPr>
        <w:t xml:space="preserve">With SCells being activated, the problem is multiplied as all these SCells all </w:t>
      </w:r>
      <w:r w:rsidR="001F2D17">
        <w:rPr>
          <w:lang w:val="en-GB"/>
        </w:rPr>
        <w:t xml:space="preserve">require </w:t>
      </w:r>
      <w:r>
        <w:rPr>
          <w:lang w:val="en-GB"/>
        </w:rPr>
        <w:t>PDCCH</w:t>
      </w:r>
      <w:r w:rsidR="001F2D17">
        <w:rPr>
          <w:lang w:val="en-GB"/>
        </w:rPr>
        <w:t xml:space="preserve"> monitoring</w:t>
      </w:r>
      <w:r>
        <w:rPr>
          <w:lang w:val="en-GB"/>
        </w:rPr>
        <w:t>. This is significant power drain. One remedy is to use cross-carrier scheduling, so that PDCCH monitoring is performed only on the PCell. However, this has issues on its own, for example, when the number of SCell is large, the burden on PCell DL control capacity could be too much</w:t>
      </w:r>
      <w:r w:rsidR="00FD774E">
        <w:rPr>
          <w:lang w:val="en-GB"/>
        </w:rPr>
        <w:t>, and is not a very scalable solution.</w:t>
      </w:r>
    </w:p>
    <w:p w14:paraId="76A26F85" w14:textId="2049858A" w:rsidR="00FD1446" w:rsidRDefault="0055157F" w:rsidP="0053268B">
      <w:pPr>
        <w:rPr>
          <w:lang w:val="en-GB"/>
        </w:rPr>
      </w:pPr>
      <w:r>
        <w:rPr>
          <w:lang w:val="en-GB"/>
        </w:rPr>
        <w:t>Obviously,</w:t>
      </w:r>
      <w:r w:rsidR="00FD774E">
        <w:rPr>
          <w:lang w:val="en-GB"/>
        </w:rPr>
        <w:t xml:space="preserve"> fast SCell activation/deactivation</w:t>
      </w:r>
      <w:r>
        <w:rPr>
          <w:lang w:val="en-GB"/>
        </w:rPr>
        <w:t xml:space="preserve"> would be </w:t>
      </w:r>
      <w:r w:rsidR="00445FB3">
        <w:rPr>
          <w:lang w:val="en-GB"/>
        </w:rPr>
        <w:t>good</w:t>
      </w:r>
      <w:r>
        <w:rPr>
          <w:lang w:val="en-GB"/>
        </w:rPr>
        <w:t xml:space="preserve"> for power consumption. Suppose the first release of NR would live with MAC-CE based SCell activation/deactivation; SCell gating based on BWP DCI signalling is a promising alternative for power saving.</w:t>
      </w:r>
      <w:r w:rsidR="00FD774E">
        <w:rPr>
          <w:lang w:val="en-GB"/>
        </w:rPr>
        <w:t xml:space="preserve"> </w:t>
      </w:r>
      <w:r>
        <w:rPr>
          <w:lang w:val="en-GB"/>
        </w:rPr>
        <w:t xml:space="preserve">In an example, </w:t>
      </w:r>
      <w:r w:rsidR="00FD774E">
        <w:rPr>
          <w:lang w:val="en-GB"/>
        </w:rPr>
        <w:t xml:space="preserve">UE </w:t>
      </w:r>
      <w:r>
        <w:rPr>
          <w:lang w:val="en-GB"/>
        </w:rPr>
        <w:t xml:space="preserve">may be </w:t>
      </w:r>
      <w:r w:rsidR="00FD774E">
        <w:rPr>
          <w:lang w:val="en-GB"/>
        </w:rPr>
        <w:t xml:space="preserve">configured </w:t>
      </w:r>
      <w:r>
        <w:rPr>
          <w:lang w:val="en-GB"/>
        </w:rPr>
        <w:t>and activated with several S</w:t>
      </w:r>
      <w:r w:rsidR="00FD774E">
        <w:rPr>
          <w:lang w:val="en-GB"/>
        </w:rPr>
        <w:t>Cell</w:t>
      </w:r>
      <w:r>
        <w:rPr>
          <w:lang w:val="en-GB"/>
        </w:rPr>
        <w:t>s along with the PCell</w:t>
      </w:r>
      <w:r w:rsidR="00FD774E">
        <w:rPr>
          <w:lang w:val="en-GB"/>
        </w:rPr>
        <w:t xml:space="preserve">, and it undergoes C-DRX. </w:t>
      </w:r>
      <w:r>
        <w:rPr>
          <w:lang w:val="en-GB"/>
        </w:rPr>
        <w:t xml:space="preserve">Initially, SCells may be activated with first active BWP. When the amount of traffic becomes low, to avoid </w:t>
      </w:r>
      <w:r w:rsidR="00FD774E">
        <w:rPr>
          <w:lang w:val="en-GB"/>
        </w:rPr>
        <w:t>spend</w:t>
      </w:r>
      <w:r>
        <w:rPr>
          <w:lang w:val="en-GB"/>
        </w:rPr>
        <w:t>ing</w:t>
      </w:r>
      <w:r w:rsidR="00FD774E">
        <w:rPr>
          <w:lang w:val="en-GB"/>
        </w:rPr>
        <w:t xml:space="preserve"> significant amount of time and energy monitoring PDCCH</w:t>
      </w:r>
      <w:r>
        <w:rPr>
          <w:lang w:val="en-GB"/>
        </w:rPr>
        <w:t xml:space="preserve"> on all activated SCells and the PCell</w:t>
      </w:r>
      <w:r w:rsidR="00FD774E">
        <w:rPr>
          <w:lang w:val="en-GB"/>
        </w:rPr>
        <w:t>,</w:t>
      </w:r>
      <w:r>
        <w:rPr>
          <w:lang w:val="en-GB"/>
        </w:rPr>
        <w:t xml:space="preserve"> SCells can be switched to </w:t>
      </w:r>
      <w:r w:rsidR="00C0471C">
        <w:rPr>
          <w:lang w:val="en-GB"/>
        </w:rPr>
        <w:t>zero BWP</w:t>
      </w:r>
      <w:r>
        <w:rPr>
          <w:lang w:val="en-GB"/>
        </w:rPr>
        <w:t xml:space="preserve"> for power saving. W</w:t>
      </w:r>
      <w:r w:rsidR="00FD774E">
        <w:rPr>
          <w:lang w:val="en-GB"/>
        </w:rPr>
        <w:t>hen the amount of traffic is large enough</w:t>
      </w:r>
      <w:r>
        <w:rPr>
          <w:lang w:val="en-GB"/>
        </w:rPr>
        <w:t xml:space="preserve"> again</w:t>
      </w:r>
      <w:r w:rsidR="00FD774E">
        <w:rPr>
          <w:lang w:val="en-GB"/>
        </w:rPr>
        <w:t xml:space="preserve">, SCells are </w:t>
      </w:r>
      <w:r w:rsidR="00445FB3">
        <w:rPr>
          <w:lang w:val="en-GB"/>
        </w:rPr>
        <w:t xml:space="preserve">switched out of </w:t>
      </w:r>
      <w:r w:rsidR="005F1543">
        <w:rPr>
          <w:lang w:val="en-GB"/>
        </w:rPr>
        <w:t xml:space="preserve">zero BWP </w:t>
      </w:r>
      <w:r w:rsidR="00445FB3">
        <w:rPr>
          <w:lang w:val="en-GB"/>
        </w:rPr>
        <w:t>onto the preconfigured first active BWP</w:t>
      </w:r>
      <w:r w:rsidR="00FD774E">
        <w:rPr>
          <w:lang w:val="en-GB"/>
        </w:rPr>
        <w:t xml:space="preserve">. </w:t>
      </w:r>
      <w:r w:rsidR="00035D1F">
        <w:rPr>
          <w:lang w:val="en-GB"/>
        </w:rPr>
        <w:t>Traffic is transferred across all activated</w:t>
      </w:r>
      <w:r w:rsidR="00445FB3">
        <w:rPr>
          <w:lang w:val="en-GB"/>
        </w:rPr>
        <w:t>, non-</w:t>
      </w:r>
      <w:r w:rsidR="005F1543">
        <w:rPr>
          <w:lang w:val="en-GB"/>
        </w:rPr>
        <w:t xml:space="preserve">zero-BWP </w:t>
      </w:r>
      <w:r w:rsidR="00035D1F">
        <w:rPr>
          <w:lang w:val="en-GB"/>
        </w:rPr>
        <w:t xml:space="preserve">cells. </w:t>
      </w:r>
      <w:r w:rsidR="00FD774E">
        <w:rPr>
          <w:lang w:val="en-GB"/>
        </w:rPr>
        <w:t xml:space="preserve">Cycles of </w:t>
      </w:r>
      <w:r w:rsidR="005F1543">
        <w:rPr>
          <w:lang w:val="en-GB"/>
        </w:rPr>
        <w:t xml:space="preserve">switching in and out of zero BWP on the </w:t>
      </w:r>
      <w:r w:rsidR="00FD774E">
        <w:rPr>
          <w:lang w:val="en-GB"/>
        </w:rPr>
        <w:t>SCell can happen within a DRX cycle</w:t>
      </w:r>
      <w:r w:rsidR="00683F24">
        <w:rPr>
          <w:lang w:val="en-GB"/>
        </w:rPr>
        <w:t>, more closely tracking the instantaneous traffic load</w:t>
      </w:r>
      <w:r w:rsidR="00FD774E">
        <w:rPr>
          <w:lang w:val="en-GB"/>
        </w:rPr>
        <w:t xml:space="preserve">.  </w:t>
      </w:r>
      <w:r w:rsidR="00445FB3">
        <w:rPr>
          <w:lang w:val="en-GB"/>
        </w:rPr>
        <w:t>S</w:t>
      </w:r>
      <w:r w:rsidR="00FD1446">
        <w:rPr>
          <w:lang w:val="en-GB"/>
        </w:rPr>
        <w:t xml:space="preserve">Cell </w:t>
      </w:r>
      <w:r w:rsidR="00445FB3">
        <w:rPr>
          <w:lang w:val="en-GB"/>
        </w:rPr>
        <w:t xml:space="preserve">gating </w:t>
      </w:r>
      <w:r w:rsidR="00FD1446">
        <w:rPr>
          <w:lang w:val="en-GB"/>
        </w:rPr>
        <w:t>provides a good solution to keep UE power consumption in check.</w:t>
      </w:r>
      <w:r w:rsidR="0099464F">
        <w:rPr>
          <w:lang w:val="en-GB"/>
        </w:rPr>
        <w:t xml:space="preserve"> It is estimated that 1/3 of power saving can be attained by monitoring PDCCH only on PCell compared to all cells for a UE </w:t>
      </w:r>
      <w:r w:rsidR="00F02CEF">
        <w:rPr>
          <w:lang w:val="en-GB"/>
        </w:rPr>
        <w:t xml:space="preserve">operating </w:t>
      </w:r>
      <w:r w:rsidR="009140A5">
        <w:rPr>
          <w:lang w:val="en-GB"/>
        </w:rPr>
        <w:t>with eight</w:t>
      </w:r>
      <w:r w:rsidR="0099464F">
        <w:rPr>
          <w:lang w:val="en-GB"/>
        </w:rPr>
        <w:t xml:space="preserve"> </w:t>
      </w:r>
      <w:r w:rsidR="009140A5">
        <w:rPr>
          <w:lang w:val="en-GB"/>
        </w:rPr>
        <w:t xml:space="preserve">mmW </w:t>
      </w:r>
      <w:r w:rsidR="0099464F">
        <w:rPr>
          <w:lang w:val="en-GB"/>
        </w:rPr>
        <w:t>carriers.</w:t>
      </w:r>
    </w:p>
    <w:p w14:paraId="7D09D1A6" w14:textId="17111CE7" w:rsidR="00FD1446" w:rsidRDefault="00FD1446" w:rsidP="0053268B">
      <w:pPr>
        <w:rPr>
          <w:lang w:val="en-GB"/>
        </w:rPr>
      </w:pPr>
    </w:p>
    <w:p w14:paraId="775EE379" w14:textId="166FC72A" w:rsidR="00465A81" w:rsidRDefault="006B52BA" w:rsidP="0053268B">
      <w:pPr>
        <w:keepNext/>
      </w:pPr>
      <w:r w:rsidRPr="006B52BA">
        <w:t xml:space="preserve"> </w:t>
      </w:r>
      <w:r>
        <w:object w:dxaOrig="15115" w:dyaOrig="8004" w14:anchorId="578A10F0">
          <v:shape id="_x0000_i1026" type="#_x0000_t75" style="width:572.6pt;height:302.95pt;mso-position-horizontal:absolute" o:ole="">
            <v:imagedata r:id="rId13" o:title=""/>
          </v:shape>
          <o:OLEObject Type="Embed" ProgID="Visio.Drawing.11" ShapeID="_x0000_i1026" DrawAspect="Content" ObjectID="_1572465386" r:id="rId14"/>
        </w:object>
      </w:r>
    </w:p>
    <w:p w14:paraId="068E75FB" w14:textId="5A64B9DB" w:rsidR="00FD1446" w:rsidRDefault="00465A81" w:rsidP="0053268B">
      <w:pPr>
        <w:pStyle w:val="Caption"/>
        <w:rPr>
          <w:lang w:val="en-GB"/>
        </w:rPr>
      </w:pPr>
      <w:bookmarkStart w:id="116" w:name="_Ref494669756"/>
      <w:r>
        <w:t xml:space="preserve">Figure </w:t>
      </w:r>
      <w:fldSimple w:instr=" SEQ Figure \* ARABIC ">
        <w:r w:rsidR="00887472">
          <w:rPr>
            <w:noProof/>
          </w:rPr>
          <w:t>1</w:t>
        </w:r>
      </w:fldSimple>
      <w:bookmarkEnd w:id="116"/>
      <w:r w:rsidR="005F1543">
        <w:t>: Zero BWP operation on SCell</w:t>
      </w:r>
    </w:p>
    <w:p w14:paraId="424A6E3C" w14:textId="7463C549" w:rsidR="00FD774E" w:rsidRDefault="00FD774E" w:rsidP="0053268B">
      <w:pPr>
        <w:rPr>
          <w:lang w:val="en-GB"/>
        </w:rPr>
      </w:pPr>
    </w:p>
    <w:p w14:paraId="32947A01" w14:textId="0777DCD0" w:rsidR="00465A81" w:rsidRDefault="00465A81" w:rsidP="0053268B">
      <w:pPr>
        <w:rPr>
          <w:lang w:val="en-GB"/>
        </w:rPr>
      </w:pPr>
      <w:r>
        <w:rPr>
          <w:lang w:val="en-GB"/>
        </w:rPr>
        <w:lastRenderedPageBreak/>
        <w:fldChar w:fldCharType="begin"/>
      </w:r>
      <w:r>
        <w:rPr>
          <w:lang w:val="en-GB"/>
        </w:rPr>
        <w:instrText xml:space="preserve"> REF _Ref494669756 \h </w:instrText>
      </w:r>
      <w:r>
        <w:rPr>
          <w:lang w:val="en-GB"/>
        </w:rPr>
      </w:r>
      <w:r>
        <w:rPr>
          <w:lang w:val="en-GB"/>
        </w:rPr>
        <w:fldChar w:fldCharType="separate"/>
      </w:r>
      <w:r w:rsidR="00887472">
        <w:t xml:space="preserve">Figure </w:t>
      </w:r>
      <w:r w:rsidR="00887472">
        <w:rPr>
          <w:noProof/>
        </w:rPr>
        <w:t>1</w:t>
      </w:r>
      <w:r>
        <w:rPr>
          <w:lang w:val="en-GB"/>
        </w:rPr>
        <w:fldChar w:fldCharType="end"/>
      </w:r>
      <w:r>
        <w:rPr>
          <w:lang w:val="en-GB"/>
        </w:rPr>
        <w:t xml:space="preserve"> illustrates a scenario with PCell and 4 SCells. </w:t>
      </w:r>
      <w:r w:rsidR="00BE6038">
        <w:rPr>
          <w:lang w:val="en-GB"/>
        </w:rPr>
        <w:t xml:space="preserve">Assume that SCell and associated BWP configuration have been done previously via RRC signalling. </w:t>
      </w:r>
      <w:r>
        <w:rPr>
          <w:lang w:val="en-GB"/>
        </w:rPr>
        <w:t>In the first DRX cycle, only PCell is monitored during ON duration of the DRX cycle</w:t>
      </w:r>
      <w:r w:rsidR="00BE6038">
        <w:rPr>
          <w:lang w:val="en-GB"/>
        </w:rPr>
        <w:t>. The BWP used for PDCCH monitoring could be optimized in this case.</w:t>
      </w:r>
      <w:r>
        <w:rPr>
          <w:lang w:val="en-GB"/>
        </w:rPr>
        <w:t xml:space="preserve"> No grant was decoded. In the second DRX cycle, gNB </w:t>
      </w:r>
      <w:r w:rsidR="00BE6038">
        <w:rPr>
          <w:lang w:val="en-GB"/>
        </w:rPr>
        <w:t xml:space="preserve">activates </w:t>
      </w:r>
      <w:r>
        <w:rPr>
          <w:lang w:val="en-GB"/>
        </w:rPr>
        <w:t>SCell</w:t>
      </w:r>
      <w:r w:rsidR="00BE6038">
        <w:rPr>
          <w:lang w:val="en-GB"/>
        </w:rPr>
        <w:t>s</w:t>
      </w:r>
      <w:r>
        <w:rPr>
          <w:lang w:val="en-GB"/>
        </w:rPr>
        <w:t xml:space="preserve"> </w:t>
      </w:r>
      <w:r w:rsidR="00BE6038">
        <w:rPr>
          <w:lang w:val="en-GB"/>
        </w:rPr>
        <w:t xml:space="preserve">via </w:t>
      </w:r>
      <w:r w:rsidR="00F348A3">
        <w:rPr>
          <w:lang w:val="en-GB"/>
        </w:rPr>
        <w:t>MAC CE</w:t>
      </w:r>
      <w:r>
        <w:rPr>
          <w:lang w:val="en-GB"/>
        </w:rPr>
        <w:t xml:space="preserve">. SCell measurement and feedback </w:t>
      </w:r>
      <w:r w:rsidR="00BE6038">
        <w:rPr>
          <w:lang w:val="en-GB"/>
        </w:rPr>
        <w:t>can be</w:t>
      </w:r>
      <w:r>
        <w:rPr>
          <w:lang w:val="en-GB"/>
        </w:rPr>
        <w:t xml:space="preserve"> done. </w:t>
      </w:r>
      <w:r w:rsidR="00F348A3">
        <w:rPr>
          <w:lang w:val="en-GB"/>
        </w:rPr>
        <w:t xml:space="preserve">The first active BWP configured for the SCells get activated. </w:t>
      </w:r>
      <w:r>
        <w:rPr>
          <w:lang w:val="en-GB"/>
        </w:rPr>
        <w:t xml:space="preserve">Afterwards, </w:t>
      </w:r>
      <w:r w:rsidR="00BE6038">
        <w:rPr>
          <w:lang w:val="en-GB"/>
        </w:rPr>
        <w:t>data transmission can be scheduled on the SCells</w:t>
      </w:r>
      <w:r>
        <w:rPr>
          <w:lang w:val="en-GB"/>
        </w:rPr>
        <w:t xml:space="preserve">. When the traffic burst has tapered off, SCells can quickly </w:t>
      </w:r>
      <w:r w:rsidR="00F348A3">
        <w:rPr>
          <w:lang w:val="en-GB"/>
        </w:rPr>
        <w:t xml:space="preserve">switch to zero BWP with </w:t>
      </w:r>
      <w:r>
        <w:rPr>
          <w:lang w:val="en-GB"/>
        </w:rPr>
        <w:t xml:space="preserve">BWP DCI </w:t>
      </w:r>
      <w:r w:rsidR="00F348A3">
        <w:rPr>
          <w:lang w:val="en-GB"/>
        </w:rPr>
        <w:t xml:space="preserve">signalling </w:t>
      </w:r>
      <w:r>
        <w:rPr>
          <w:lang w:val="en-GB"/>
        </w:rPr>
        <w:t xml:space="preserve">or timer expiration. In the </w:t>
      </w:r>
      <w:r w:rsidR="00166F5E">
        <w:rPr>
          <w:lang w:val="en-GB"/>
        </w:rPr>
        <w:t>3</w:t>
      </w:r>
      <w:r w:rsidR="00166F5E" w:rsidRPr="0053268B">
        <w:rPr>
          <w:vertAlign w:val="superscript"/>
          <w:lang w:val="en-GB"/>
        </w:rPr>
        <w:t>rd</w:t>
      </w:r>
      <w:r w:rsidR="00166F5E">
        <w:rPr>
          <w:lang w:val="en-GB"/>
        </w:rPr>
        <w:t xml:space="preserve"> </w:t>
      </w:r>
      <w:r>
        <w:rPr>
          <w:lang w:val="en-GB"/>
        </w:rPr>
        <w:t xml:space="preserve">and </w:t>
      </w:r>
      <w:r w:rsidR="00166F5E">
        <w:rPr>
          <w:lang w:val="en-GB"/>
        </w:rPr>
        <w:t>5</w:t>
      </w:r>
      <w:r w:rsidR="00166F5E" w:rsidRPr="0053268B">
        <w:rPr>
          <w:vertAlign w:val="superscript"/>
          <w:lang w:val="en-GB"/>
        </w:rPr>
        <w:t>th</w:t>
      </w:r>
      <w:r w:rsidR="00166F5E">
        <w:rPr>
          <w:lang w:val="en-GB"/>
        </w:rPr>
        <w:t xml:space="preserve"> </w:t>
      </w:r>
      <w:r>
        <w:rPr>
          <w:lang w:val="en-GB"/>
        </w:rPr>
        <w:t xml:space="preserve">DRX cycles, </w:t>
      </w:r>
      <w:r w:rsidR="00166F5E">
        <w:rPr>
          <w:lang w:val="en-GB"/>
        </w:rPr>
        <w:t>no grant was decoded and only PCell PDCCH is monitored</w:t>
      </w:r>
      <w:r w:rsidR="00F348A3">
        <w:rPr>
          <w:lang w:val="en-GB"/>
        </w:rPr>
        <w:t xml:space="preserve"> while SCells remain in zero-BWP</w:t>
      </w:r>
      <w:r w:rsidR="00166F5E">
        <w:rPr>
          <w:lang w:val="en-GB"/>
        </w:rPr>
        <w:t>. In the 4</w:t>
      </w:r>
      <w:r w:rsidR="00166F5E" w:rsidRPr="0053268B">
        <w:rPr>
          <w:vertAlign w:val="superscript"/>
          <w:lang w:val="en-GB"/>
        </w:rPr>
        <w:t>th</w:t>
      </w:r>
      <w:r w:rsidR="00166F5E">
        <w:rPr>
          <w:lang w:val="en-GB"/>
        </w:rPr>
        <w:t xml:space="preserve"> DRX cycle, traffic </w:t>
      </w:r>
      <w:r w:rsidR="00F348A3">
        <w:rPr>
          <w:lang w:val="en-GB"/>
        </w:rPr>
        <w:t>burst arrives</w:t>
      </w:r>
      <w:r w:rsidR="00166F5E">
        <w:rPr>
          <w:lang w:val="en-GB"/>
        </w:rPr>
        <w:t xml:space="preserve"> and SCells are quickly </w:t>
      </w:r>
      <w:r w:rsidR="00F348A3">
        <w:rPr>
          <w:lang w:val="en-GB"/>
        </w:rPr>
        <w:t>switched out of zero BWP via BWP DCI signalling on PCell. Then, UE monitors DL control channel on the SCells and is ready for scheduled data.</w:t>
      </w:r>
    </w:p>
    <w:p w14:paraId="6F4D116F" w14:textId="34B18F0F" w:rsidR="00166F5E" w:rsidRDefault="00166F5E" w:rsidP="0053268B">
      <w:pPr>
        <w:rPr>
          <w:lang w:val="en-GB"/>
        </w:rPr>
      </w:pPr>
      <w:r>
        <w:rPr>
          <w:lang w:val="en-GB"/>
        </w:rPr>
        <w:t xml:space="preserve">It should be easily </w:t>
      </w:r>
      <w:r w:rsidR="003E6ED1">
        <w:rPr>
          <w:lang w:val="en-GB"/>
        </w:rPr>
        <w:t>to see</w:t>
      </w:r>
      <w:r>
        <w:rPr>
          <w:lang w:val="en-GB"/>
        </w:rPr>
        <w:t xml:space="preserve"> how this would be more power efficient than a scheme where SCells </w:t>
      </w:r>
      <w:r w:rsidR="003E6ED1">
        <w:rPr>
          <w:lang w:val="en-GB"/>
        </w:rPr>
        <w:t>cannot switch to zero-BWP</w:t>
      </w:r>
      <w:r>
        <w:rPr>
          <w:lang w:val="en-GB"/>
        </w:rPr>
        <w:t xml:space="preserve">. </w:t>
      </w:r>
      <w:r w:rsidR="003E6ED1">
        <w:rPr>
          <w:lang w:val="en-GB"/>
        </w:rPr>
        <w:t>In the example, i</w:t>
      </w:r>
      <w:r>
        <w:rPr>
          <w:lang w:val="en-GB"/>
        </w:rPr>
        <w:t xml:space="preserve">f </w:t>
      </w:r>
      <w:r w:rsidR="003E6ED1">
        <w:rPr>
          <w:lang w:val="en-GB"/>
        </w:rPr>
        <w:t xml:space="preserve">zero BWP cannot be activated on </w:t>
      </w:r>
      <w:r>
        <w:rPr>
          <w:lang w:val="en-GB"/>
        </w:rPr>
        <w:t xml:space="preserve">SCells </w:t>
      </w:r>
      <w:r w:rsidR="003E6ED1">
        <w:rPr>
          <w:lang w:val="en-GB"/>
        </w:rPr>
        <w:t xml:space="preserve">from </w:t>
      </w:r>
      <w:r>
        <w:rPr>
          <w:lang w:val="en-GB"/>
        </w:rPr>
        <w:t>near the end of the 2</w:t>
      </w:r>
      <w:r w:rsidRPr="0053268B">
        <w:rPr>
          <w:vertAlign w:val="superscript"/>
          <w:lang w:val="en-GB"/>
        </w:rPr>
        <w:t>nd</w:t>
      </w:r>
      <w:r>
        <w:rPr>
          <w:lang w:val="en-GB"/>
        </w:rPr>
        <w:t xml:space="preserve"> DRX cycle through the 4</w:t>
      </w:r>
      <w:r w:rsidRPr="0053268B">
        <w:rPr>
          <w:vertAlign w:val="superscript"/>
          <w:lang w:val="en-GB"/>
        </w:rPr>
        <w:t>th</w:t>
      </w:r>
      <w:r>
        <w:rPr>
          <w:lang w:val="en-GB"/>
        </w:rPr>
        <w:t xml:space="preserve"> DRX cycle, </w:t>
      </w:r>
      <w:r w:rsidR="003E6ED1">
        <w:rPr>
          <w:lang w:val="en-GB"/>
        </w:rPr>
        <w:t xml:space="preserve">UE </w:t>
      </w:r>
      <w:r>
        <w:rPr>
          <w:lang w:val="en-GB"/>
        </w:rPr>
        <w:t xml:space="preserve">would </w:t>
      </w:r>
      <w:r w:rsidR="003E6ED1">
        <w:rPr>
          <w:lang w:val="en-GB"/>
        </w:rPr>
        <w:t xml:space="preserve">have </w:t>
      </w:r>
      <w:r w:rsidR="00884264">
        <w:rPr>
          <w:lang w:val="en-GB"/>
        </w:rPr>
        <w:t>to</w:t>
      </w:r>
      <w:r>
        <w:rPr>
          <w:lang w:val="en-GB"/>
        </w:rPr>
        <w:t xml:space="preserve"> </w:t>
      </w:r>
      <w:r w:rsidR="00884264">
        <w:rPr>
          <w:lang w:val="en-GB"/>
        </w:rPr>
        <w:t xml:space="preserve">monitor </w:t>
      </w:r>
      <w:r>
        <w:rPr>
          <w:lang w:val="en-GB"/>
        </w:rPr>
        <w:t xml:space="preserve">PDCCH </w:t>
      </w:r>
      <w:r w:rsidR="003E6ED1">
        <w:rPr>
          <w:lang w:val="en-GB"/>
        </w:rPr>
        <w:t xml:space="preserve">on all activated SCells during </w:t>
      </w:r>
      <w:r>
        <w:rPr>
          <w:lang w:val="en-GB"/>
        </w:rPr>
        <w:t>the 3</w:t>
      </w:r>
      <w:r w:rsidRPr="0053268B">
        <w:rPr>
          <w:vertAlign w:val="superscript"/>
          <w:lang w:val="en-GB"/>
        </w:rPr>
        <w:t>rd</w:t>
      </w:r>
      <w:r>
        <w:rPr>
          <w:lang w:val="en-GB"/>
        </w:rPr>
        <w:t xml:space="preserve"> DRX cycle, draining power unnecessarily.</w:t>
      </w:r>
    </w:p>
    <w:p w14:paraId="1ACA04A6" w14:textId="77777777" w:rsidR="00687A5E" w:rsidRDefault="00687A5E" w:rsidP="0053268B">
      <w:pPr>
        <w:rPr>
          <w:lang w:val="en-GB"/>
        </w:rPr>
      </w:pPr>
    </w:p>
    <w:p w14:paraId="6588E4F0" w14:textId="005FCAB9" w:rsidR="00C3160D" w:rsidRDefault="00C3160D" w:rsidP="00C3160D">
      <w:pPr>
        <w:pStyle w:val="Heading1"/>
      </w:pPr>
      <w:bookmarkStart w:id="117" w:name="_Ref494735667"/>
      <w:r>
        <w:t xml:space="preserve">Timeline for CA </w:t>
      </w:r>
      <w:r w:rsidR="00687A5E">
        <w:t>A</w:t>
      </w:r>
      <w:r>
        <w:t>ctivation/</w:t>
      </w:r>
      <w:r w:rsidR="00687A5E">
        <w:t>D</w:t>
      </w:r>
      <w:r>
        <w:t>eactivation</w:t>
      </w:r>
      <w:bookmarkEnd w:id="117"/>
    </w:p>
    <w:p w14:paraId="2D3504B2" w14:textId="507D50FA" w:rsidR="00736803" w:rsidRDefault="00736803" w:rsidP="00C3160D">
      <w:pPr>
        <w:rPr>
          <w:lang w:val="en-GB"/>
        </w:rPr>
      </w:pPr>
      <w:r>
        <w:rPr>
          <w:lang w:val="en-GB"/>
        </w:rPr>
        <w:t>(</w:t>
      </w:r>
      <w:r w:rsidRPr="00736803">
        <w:rPr>
          <w:i/>
          <w:lang w:val="en-GB"/>
        </w:rPr>
        <w:t xml:space="preserve">This section is a </w:t>
      </w:r>
      <w:r w:rsidR="006A76A6">
        <w:rPr>
          <w:i/>
          <w:lang w:val="en-GB"/>
        </w:rPr>
        <w:t xml:space="preserve">slightly </w:t>
      </w:r>
      <w:r w:rsidRPr="00736803">
        <w:rPr>
          <w:i/>
          <w:lang w:val="en-GB"/>
        </w:rPr>
        <w:t>revised version from previous submission</w:t>
      </w:r>
      <w:r>
        <w:rPr>
          <w:lang w:val="en-GB"/>
        </w:rPr>
        <w:t>)</w:t>
      </w:r>
    </w:p>
    <w:p w14:paraId="4FC3CB04" w14:textId="539599AB" w:rsidR="00C3160D" w:rsidRDefault="00C3160D" w:rsidP="00C3160D">
      <w:pPr>
        <w:rPr>
          <w:lang w:val="en-GB"/>
        </w:rPr>
      </w:pPr>
      <w:r w:rsidRPr="00395DB2">
        <w:rPr>
          <w:lang w:val="en-GB"/>
        </w:rPr>
        <w:t xml:space="preserve">In LTE, </w:t>
      </w:r>
      <w:r>
        <w:rPr>
          <w:lang w:val="en-GB"/>
        </w:rPr>
        <w:t>CA activation/deactivation command is carried in MAC control element (CE) which is transferred over PDSCH. If the MAC-CE command is carried in subframe n, UE sends acknowledgement to the MAC-CE command in subframe n+4. UE starts to perform activation activity related to MAC in subframe n+8, and is ready to transmit valid CSI report no later than subframe n+24 in normal cases (i.e., for a detected/measured SCell) [1, Section 7.7]. In this case, the overall CA activation latency is up to 24ms.</w:t>
      </w:r>
    </w:p>
    <w:p w14:paraId="25502DA6" w14:textId="77777777" w:rsidR="00C3160D" w:rsidRDefault="00C3160D" w:rsidP="00C3160D">
      <w:pPr>
        <w:keepNext/>
        <w:jc w:val="center"/>
      </w:pPr>
      <w:r>
        <w:rPr>
          <w:noProof/>
          <w:lang w:eastAsia="ko-KR"/>
        </w:rPr>
        <w:drawing>
          <wp:inline distT="0" distB="0" distL="0" distR="0" wp14:anchorId="0E1AD32D" wp14:editId="36242A82">
            <wp:extent cx="5714164" cy="103875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1610" cy="1063744"/>
                    </a:xfrm>
                    <a:prstGeom prst="rect">
                      <a:avLst/>
                    </a:prstGeom>
                    <a:noFill/>
                  </pic:spPr>
                </pic:pic>
              </a:graphicData>
            </a:graphic>
          </wp:inline>
        </w:drawing>
      </w:r>
    </w:p>
    <w:p w14:paraId="0FF400F0" w14:textId="50EB0B04" w:rsidR="00C3160D" w:rsidRDefault="00C3160D" w:rsidP="00C3160D">
      <w:pPr>
        <w:pStyle w:val="Caption"/>
        <w:jc w:val="center"/>
        <w:rPr>
          <w:lang w:val="en-GB"/>
        </w:rPr>
      </w:pPr>
      <w:r>
        <w:t xml:space="preserve">Figure </w:t>
      </w:r>
      <w:fldSimple w:instr=" SEQ Figure \* ARABIC ">
        <w:r w:rsidR="00887472">
          <w:rPr>
            <w:noProof/>
          </w:rPr>
          <w:t>2</w:t>
        </w:r>
      </w:fldSimple>
      <w:r>
        <w:t>: CA activation timeline in LTE</w:t>
      </w:r>
    </w:p>
    <w:p w14:paraId="1ED4C38B" w14:textId="77777777" w:rsidR="00C3160D" w:rsidRPr="00395DB2" w:rsidRDefault="00C3160D" w:rsidP="00C3160D">
      <w:r>
        <w:rPr>
          <w:lang w:val="en-GB"/>
        </w:rPr>
        <w:t xml:space="preserve"> (The PCell interruption time is one subframe for inter-band CA and up to 5 subframes for intra-band CA [1, Section 7.8.2], and is parallel to the above timeline.</w:t>
      </w:r>
      <w:r>
        <w:t>)</w:t>
      </w:r>
    </w:p>
    <w:p w14:paraId="635E627E" w14:textId="5252E920" w:rsidR="00C3160D" w:rsidRDefault="00C3160D" w:rsidP="00C3160D">
      <w:pPr>
        <w:rPr>
          <w:lang w:val="en-GB"/>
        </w:rPr>
      </w:pPr>
      <w:r>
        <w:rPr>
          <w:lang w:val="en-GB"/>
        </w:rPr>
        <w:t xml:space="preserve">In NR, if the CA activation command is MAC CE-based, the acknowledgement to CA activation is defined by K1 slots in the current HARQ framework. The CA activation timeline can be shorter than that of LTE due to the improved HARQ timeline. Furthermore, current NR tracking RS (TRS) framework </w:t>
      </w:r>
      <w:r w:rsidR="000178F8">
        <w:rPr>
          <w:lang w:val="en-GB"/>
        </w:rPr>
        <w:t xml:space="preserve">can </w:t>
      </w:r>
      <w:r>
        <w:rPr>
          <w:lang w:val="en-GB"/>
        </w:rPr>
        <w:t xml:space="preserve">allow much faster adaptation relative to LTE loop convergence bases on CRS </w:t>
      </w:r>
      <w:r w:rsidR="009E3E19">
        <w:rPr>
          <w:lang w:val="en-GB"/>
        </w:rPr>
        <w:fldChar w:fldCharType="begin"/>
      </w:r>
      <w:r w:rsidR="009E3E19">
        <w:rPr>
          <w:lang w:val="en-GB"/>
        </w:rPr>
        <w:instrText xml:space="preserve"> REF _Ref494735489 \r \h </w:instrText>
      </w:r>
      <w:r w:rsidR="009E3E19">
        <w:rPr>
          <w:lang w:val="en-GB"/>
        </w:rPr>
      </w:r>
      <w:r w:rsidR="009E3E19">
        <w:rPr>
          <w:lang w:val="en-GB"/>
        </w:rPr>
        <w:fldChar w:fldCharType="separate"/>
      </w:r>
      <w:r w:rsidR="00887472">
        <w:rPr>
          <w:lang w:val="en-GB"/>
        </w:rPr>
        <w:t>[2]</w:t>
      </w:r>
      <w:r w:rsidR="009E3E19">
        <w:rPr>
          <w:lang w:val="en-GB"/>
        </w:rPr>
        <w:fldChar w:fldCharType="end"/>
      </w:r>
      <w:r>
        <w:rPr>
          <w:lang w:val="en-GB"/>
        </w:rPr>
        <w:t>. As a result, the UE should be able to be ready to report valid CSI much earlier than the n+24 timeline in LTE as long as TRS</w:t>
      </w:r>
      <w:r w:rsidR="000178F8">
        <w:rPr>
          <w:lang w:val="en-GB"/>
        </w:rPr>
        <w:t xml:space="preserve"> and CSI-RS</w:t>
      </w:r>
      <w:r>
        <w:rPr>
          <w:lang w:val="en-GB"/>
        </w:rPr>
        <w:t xml:space="preserve"> </w:t>
      </w:r>
      <w:r w:rsidR="000178F8">
        <w:rPr>
          <w:lang w:val="en-GB"/>
        </w:rPr>
        <w:t>are</w:t>
      </w:r>
      <w:r>
        <w:rPr>
          <w:lang w:val="en-GB"/>
        </w:rPr>
        <w:t xml:space="preserve"> provided with respect to the activation timeline</w:t>
      </w:r>
      <w:r w:rsidR="000178F8">
        <w:rPr>
          <w:lang w:val="en-GB"/>
        </w:rPr>
        <w:t xml:space="preserve"> accordingly</w:t>
      </w:r>
      <w:r>
        <w:rPr>
          <w:lang w:val="en-GB"/>
        </w:rPr>
        <w:t>. NR CA activation timeline based on MAC-CE command is shown in</w:t>
      </w:r>
      <w:r w:rsidR="009E3E19">
        <w:rPr>
          <w:lang w:val="en-GB"/>
        </w:rPr>
        <w:t xml:space="preserve"> </w:t>
      </w:r>
      <w:r w:rsidR="009E3E19">
        <w:rPr>
          <w:lang w:val="en-GB"/>
        </w:rPr>
        <w:fldChar w:fldCharType="begin"/>
      </w:r>
      <w:r w:rsidR="009E3E19">
        <w:rPr>
          <w:lang w:val="en-GB"/>
        </w:rPr>
        <w:instrText xml:space="preserve"> REF _Ref494735537 \h </w:instrText>
      </w:r>
      <w:r w:rsidR="009E3E19">
        <w:rPr>
          <w:lang w:val="en-GB"/>
        </w:rPr>
      </w:r>
      <w:r w:rsidR="009E3E19">
        <w:rPr>
          <w:lang w:val="en-GB"/>
        </w:rPr>
        <w:fldChar w:fldCharType="separate"/>
      </w:r>
      <w:r w:rsidR="00887472">
        <w:t xml:space="preserve">Figure </w:t>
      </w:r>
      <w:r w:rsidR="00887472">
        <w:rPr>
          <w:noProof/>
        </w:rPr>
        <w:t>3</w:t>
      </w:r>
      <w:r w:rsidR="009E3E19">
        <w:rPr>
          <w:lang w:val="en-GB"/>
        </w:rPr>
        <w:fldChar w:fldCharType="end"/>
      </w:r>
      <w:r>
        <w:rPr>
          <w:lang w:val="en-GB"/>
        </w:rPr>
        <w:t xml:space="preserve">. It should be noted that </w:t>
      </w:r>
      <w:r w:rsidR="00456406">
        <w:rPr>
          <w:lang w:val="en-GB"/>
        </w:rPr>
        <w:fldChar w:fldCharType="begin"/>
      </w:r>
      <w:r w:rsidR="00456406">
        <w:rPr>
          <w:lang w:val="en-GB"/>
        </w:rPr>
        <w:instrText xml:space="preserve"> REF _Ref494735537 \h </w:instrText>
      </w:r>
      <w:r w:rsidR="00456406">
        <w:rPr>
          <w:lang w:val="en-GB"/>
        </w:rPr>
      </w:r>
      <w:r w:rsidR="00456406">
        <w:rPr>
          <w:lang w:val="en-GB"/>
        </w:rPr>
        <w:fldChar w:fldCharType="separate"/>
      </w:r>
      <w:r w:rsidR="00887472">
        <w:t xml:space="preserve">Figure </w:t>
      </w:r>
      <w:r w:rsidR="00887472">
        <w:rPr>
          <w:noProof/>
        </w:rPr>
        <w:t>3</w:t>
      </w:r>
      <w:r w:rsidR="00456406">
        <w:rPr>
          <w:lang w:val="en-GB"/>
        </w:rPr>
        <w:fldChar w:fldCharType="end"/>
      </w:r>
      <w:r w:rsidR="00456406">
        <w:rPr>
          <w:lang w:val="en-GB"/>
        </w:rPr>
        <w:t xml:space="preserve"> </w:t>
      </w:r>
      <w:r>
        <w:rPr>
          <w:lang w:val="en-GB"/>
        </w:rPr>
        <w:t>is the timeline at the UE.</w:t>
      </w:r>
    </w:p>
    <w:p w14:paraId="371BC0E2" w14:textId="60E0620A" w:rsidR="000178F8" w:rsidRDefault="000178F8" w:rsidP="00C3160D">
      <w:pPr>
        <w:rPr>
          <w:lang w:val="en-GB"/>
        </w:rPr>
      </w:pPr>
      <w:r>
        <w:rPr>
          <w:lang w:val="en-GB"/>
        </w:rPr>
        <w:t>In order to achieve faster timeline of SCell activation including tracking loop and CQI convergence, aperiodic TRS [2] should be allowed at SCell activation</w:t>
      </w:r>
      <w:r w:rsidR="004F3546">
        <w:rPr>
          <w:lang w:val="en-GB"/>
        </w:rPr>
        <w:t xml:space="preserve"> together with aperiodic CSI request. Without aperiodic TRS, SCell activation timeline can be even longer than LTE if periodic TRS is not aligned with SCell activation timeline. Issuing SCell activation command with respect to the configured periodic TRS is possible, but this effectively means delaying SCell activation in other words. Thus, it is essential to support aperiodic TRS at SCell activation in order to allow UE for faster tracking loop convergence.</w:t>
      </w:r>
    </w:p>
    <w:p w14:paraId="1B1DFB0B" w14:textId="3BAEFF30" w:rsidR="004F3546" w:rsidRDefault="004F3546" w:rsidP="00A11DF9">
      <w:pPr>
        <w:pStyle w:val="Caption"/>
        <w:rPr>
          <w:lang w:val="en-GB"/>
        </w:rPr>
      </w:pPr>
      <w:bookmarkStart w:id="118" w:name="_Toc498716907"/>
      <w:bookmarkStart w:id="119" w:name="_Toc498716972"/>
      <w:bookmarkStart w:id="120" w:name="_Toc498720475"/>
      <w:bookmarkStart w:id="121" w:name="_Toc498720511"/>
      <w:r>
        <w:t xml:space="preserve">Proposal </w:t>
      </w:r>
      <w:r w:rsidR="00C51A6A">
        <w:fldChar w:fldCharType="begin"/>
      </w:r>
      <w:r w:rsidR="00C51A6A">
        <w:instrText xml:space="preserve"> SEQ Proposal \* ARABIC </w:instrText>
      </w:r>
      <w:r w:rsidR="00C51A6A">
        <w:fldChar w:fldCharType="separate"/>
      </w:r>
      <w:r w:rsidR="00887472">
        <w:rPr>
          <w:noProof/>
        </w:rPr>
        <w:t>7</w:t>
      </w:r>
      <w:r w:rsidR="00C51A6A">
        <w:rPr>
          <w:noProof/>
        </w:rPr>
        <w:fldChar w:fldCharType="end"/>
      </w:r>
      <w:r>
        <w:t xml:space="preserve">: </w:t>
      </w:r>
      <w:bookmarkEnd w:id="118"/>
      <w:r>
        <w:rPr>
          <w:lang w:val="en-GB"/>
        </w:rPr>
        <w:t>Aperiodic TRS is supported at SCell activation.</w:t>
      </w:r>
      <w:bookmarkEnd w:id="119"/>
      <w:bookmarkEnd w:id="120"/>
      <w:bookmarkEnd w:id="121"/>
    </w:p>
    <w:p w14:paraId="36F5620D" w14:textId="77777777" w:rsidR="00C3160D" w:rsidRDefault="00C3160D" w:rsidP="00C3160D">
      <w:pPr>
        <w:pStyle w:val="Caption"/>
      </w:pPr>
      <w:r>
        <w:object w:dxaOrig="16505" w:dyaOrig="4394" w14:anchorId="207C2F51">
          <v:shape id="_x0000_i1027" type="#_x0000_t75" style="width:465.3pt;height:123.6pt" o:ole="" o:allowoverlap="f">
            <v:imagedata r:id="rId16" o:title=""/>
          </v:shape>
          <o:OLEObject Type="Embed" ProgID="Visio.Drawing.11" ShapeID="_x0000_i1027" DrawAspect="Content" ObjectID="_1572465387" r:id="rId17"/>
        </w:object>
      </w:r>
    </w:p>
    <w:p w14:paraId="7EBF643C" w14:textId="42F84ED8" w:rsidR="00C3160D" w:rsidRDefault="00C3160D" w:rsidP="00C3160D">
      <w:pPr>
        <w:pStyle w:val="Caption"/>
        <w:jc w:val="center"/>
        <w:rPr>
          <w:lang w:val="en-GB"/>
        </w:rPr>
      </w:pPr>
      <w:bookmarkStart w:id="122" w:name="_Ref494735537"/>
      <w:r>
        <w:t xml:space="preserve">Figure </w:t>
      </w:r>
      <w:fldSimple w:instr=" SEQ Figure \* ARABIC ">
        <w:r w:rsidR="00887472">
          <w:rPr>
            <w:noProof/>
          </w:rPr>
          <w:t>3</w:t>
        </w:r>
      </w:fldSimple>
      <w:bookmarkEnd w:id="122"/>
      <w:r>
        <w:t>: Shortened CA/BWP activation timeline based on MAC-CE command with fast tracking RS adaptation</w:t>
      </w:r>
    </w:p>
    <w:p w14:paraId="0F7557FF" w14:textId="071534AD" w:rsidR="00C3160D" w:rsidRDefault="005713EF" w:rsidP="00C3160D">
      <w:pPr>
        <w:rPr>
          <w:lang w:val="en-GB"/>
        </w:rPr>
      </w:pPr>
      <w:r>
        <w:rPr>
          <w:lang w:val="en-GB"/>
        </w:rPr>
        <w:t xml:space="preserve">In NR, BWP activation/deactivation via DCI signalling </w:t>
      </w:r>
      <w:r w:rsidR="000178F8">
        <w:rPr>
          <w:lang w:val="en-GB"/>
        </w:rPr>
        <w:t>can be</w:t>
      </w:r>
      <w:r>
        <w:rPr>
          <w:lang w:val="en-GB"/>
        </w:rPr>
        <w:t xml:space="preserve"> introduced. Unification of CA and BWP activation can be considered, i.e. it may be possible to activate CA based on BWP DCI signaling. </w:t>
      </w:r>
      <w:r w:rsidR="00C3160D">
        <w:rPr>
          <w:lang w:val="en-GB"/>
        </w:rPr>
        <w:t>We can further improve the CA/BWP activation timeline for DCI-based activation given there is no corresponding PDSCH decoding and additional latency in MAC. Depending on the UE capability, acknowledgement to CA/BWP activation DCI could be transmitted even within the same slot as the activation DCI. This is illustrated in</w:t>
      </w:r>
      <w:r w:rsidR="009E3E19">
        <w:rPr>
          <w:lang w:val="en-GB"/>
        </w:rPr>
        <w:t xml:space="preserve"> </w:t>
      </w:r>
      <w:r w:rsidR="009E3E19">
        <w:rPr>
          <w:lang w:val="en-GB"/>
        </w:rPr>
        <w:fldChar w:fldCharType="begin"/>
      </w:r>
      <w:r w:rsidR="009E3E19">
        <w:rPr>
          <w:lang w:val="en-GB"/>
        </w:rPr>
        <w:instrText xml:space="preserve"> REF _Ref494735570 \h </w:instrText>
      </w:r>
      <w:r w:rsidR="009E3E19">
        <w:rPr>
          <w:lang w:val="en-GB"/>
        </w:rPr>
      </w:r>
      <w:r w:rsidR="009E3E19">
        <w:rPr>
          <w:lang w:val="en-GB"/>
        </w:rPr>
        <w:fldChar w:fldCharType="separate"/>
      </w:r>
      <w:r w:rsidR="00887472">
        <w:t xml:space="preserve">Figure </w:t>
      </w:r>
      <w:r w:rsidR="00887472">
        <w:rPr>
          <w:noProof/>
        </w:rPr>
        <w:t>4</w:t>
      </w:r>
      <w:r w:rsidR="009E3E19">
        <w:rPr>
          <w:lang w:val="en-GB"/>
        </w:rPr>
        <w:fldChar w:fldCharType="end"/>
      </w:r>
      <w:r w:rsidR="00C3160D">
        <w:rPr>
          <w:lang w:val="en-GB"/>
        </w:rPr>
        <w:t>.</w:t>
      </w:r>
    </w:p>
    <w:p w14:paraId="23BD9167" w14:textId="77777777" w:rsidR="00C3160D" w:rsidRDefault="00C3160D" w:rsidP="00C3160D">
      <w:pPr>
        <w:jc w:val="center"/>
        <w:rPr>
          <w:lang w:val="en-GB"/>
        </w:rPr>
      </w:pPr>
      <w:r>
        <w:object w:dxaOrig="15288" w:dyaOrig="4777" w14:anchorId="572FF2F7">
          <v:shape id="_x0000_i1028" type="#_x0000_t75" style="width:427.9pt;height:134.5pt" o:ole="">
            <v:imagedata r:id="rId18" o:title=""/>
          </v:shape>
          <o:OLEObject Type="Embed" ProgID="Visio.Drawing.11" ShapeID="_x0000_i1028" DrawAspect="Content" ObjectID="_1572465388" r:id="rId19"/>
        </w:object>
      </w:r>
    </w:p>
    <w:p w14:paraId="3A7FE600" w14:textId="73372EFD" w:rsidR="00C3160D" w:rsidRDefault="00C3160D" w:rsidP="00C3160D">
      <w:pPr>
        <w:pStyle w:val="Caption"/>
        <w:jc w:val="center"/>
        <w:rPr>
          <w:lang w:val="en-GB"/>
        </w:rPr>
      </w:pPr>
      <w:bookmarkStart w:id="123" w:name="_Ref494735570"/>
      <w:r>
        <w:t xml:space="preserve">Figure </w:t>
      </w:r>
      <w:fldSimple w:instr=" SEQ Figure \* ARABIC ">
        <w:r w:rsidR="00887472">
          <w:rPr>
            <w:noProof/>
          </w:rPr>
          <w:t>4</w:t>
        </w:r>
      </w:fldSimple>
      <w:bookmarkEnd w:id="123"/>
      <w:r>
        <w:t>: Shortened CA/BWP activation timeline based on DCI-based command with fast tracking RS adaptation</w:t>
      </w:r>
    </w:p>
    <w:p w14:paraId="57A74FB6" w14:textId="2F6BD3D4" w:rsidR="00C3160D" w:rsidRDefault="00C3160D" w:rsidP="00C3160D">
      <w:pPr>
        <w:pStyle w:val="Caption"/>
        <w:rPr>
          <w:lang w:val="en-GB"/>
        </w:rPr>
      </w:pPr>
      <w:bookmarkStart w:id="124" w:name="_Toc494704851"/>
      <w:bookmarkStart w:id="125" w:name="_Toc494713149"/>
      <w:bookmarkStart w:id="126" w:name="_Toc494713323"/>
      <w:bookmarkStart w:id="127" w:name="_Toc494713411"/>
      <w:bookmarkStart w:id="128" w:name="_Toc494734979"/>
      <w:bookmarkStart w:id="129" w:name="_Toc494735045"/>
      <w:bookmarkStart w:id="130" w:name="_Toc494735617"/>
      <w:bookmarkStart w:id="131" w:name="_Toc494746301"/>
      <w:bookmarkStart w:id="132" w:name="_Toc498464652"/>
      <w:bookmarkStart w:id="133" w:name="_Toc498464670"/>
      <w:bookmarkStart w:id="134" w:name="_Toc498680593"/>
      <w:bookmarkStart w:id="135" w:name="_Toc498707153"/>
      <w:bookmarkStart w:id="136" w:name="_Toc498707443"/>
      <w:bookmarkStart w:id="137" w:name="_Toc498707455"/>
      <w:bookmarkStart w:id="138" w:name="_Toc498707736"/>
      <w:bookmarkStart w:id="139" w:name="_Toc498708147"/>
      <w:bookmarkStart w:id="140" w:name="_Toc498708247"/>
      <w:bookmarkStart w:id="141" w:name="_Toc498708434"/>
      <w:bookmarkStart w:id="142" w:name="_Toc498716899"/>
      <w:bookmarkStart w:id="143" w:name="_Toc498720467"/>
      <w:bookmarkStart w:id="144" w:name="_Toc498720523"/>
      <w:r>
        <w:t xml:space="preserve">Observation </w:t>
      </w:r>
      <w:fldSimple w:instr=" SEQ Observation \* ARABIC ">
        <w:r w:rsidR="00887472">
          <w:rPr>
            <w:noProof/>
          </w:rPr>
          <w:t>1</w:t>
        </w:r>
      </w:fldSimple>
      <w:r>
        <w:t xml:space="preserve">: </w:t>
      </w:r>
      <w:r w:rsidR="00FA5DF2">
        <w:rPr>
          <w:lang w:val="en-GB"/>
        </w:rPr>
        <w:t>D</w:t>
      </w:r>
      <w:r>
        <w:rPr>
          <w:lang w:val="en-GB"/>
        </w:rPr>
        <w:t>CI-based CA/BWP activation/deactivation command provides shorter latency than the MAC CE-based activation/deactivation</w:t>
      </w:r>
      <w:r w:rsidR="000178F8">
        <w:rPr>
          <w:lang w:val="en-GB"/>
        </w:rPr>
        <w:t xml:space="preserve"> (See [8])</w:t>
      </w:r>
      <w:r>
        <w:rPr>
          <w:lang w:val="en-GB"/>
        </w:rPr>
        <w:t>.</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48A9DE6C" w14:textId="590B8A1B" w:rsidR="00C3160D" w:rsidRPr="00587607" w:rsidRDefault="00C3160D" w:rsidP="00C3160D">
      <w:pPr>
        <w:pStyle w:val="Caption"/>
        <w:rPr>
          <w:b w:val="0"/>
          <w:lang w:val="en-GB"/>
        </w:rPr>
      </w:pPr>
      <w:bookmarkStart w:id="145" w:name="_Toc494704861"/>
      <w:bookmarkStart w:id="146" w:name="_Toc494713155"/>
      <w:bookmarkStart w:id="147" w:name="_Toc494713329"/>
      <w:bookmarkStart w:id="148" w:name="_Toc494713417"/>
      <w:bookmarkStart w:id="149" w:name="_Toc494734984"/>
      <w:bookmarkStart w:id="150" w:name="_Toc494735050"/>
      <w:bookmarkStart w:id="151" w:name="_Toc494735627"/>
      <w:bookmarkStart w:id="152" w:name="_Toc494745991"/>
      <w:bookmarkStart w:id="153" w:name="_Toc494746308"/>
      <w:bookmarkStart w:id="154" w:name="_Toc498464658"/>
      <w:bookmarkStart w:id="155" w:name="_Toc498464676"/>
      <w:bookmarkStart w:id="156" w:name="_Toc498679759"/>
      <w:bookmarkStart w:id="157" w:name="_Toc498680119"/>
      <w:bookmarkStart w:id="158" w:name="_Toc498680599"/>
      <w:bookmarkStart w:id="159" w:name="_Toc498680631"/>
      <w:bookmarkStart w:id="160" w:name="_Toc498680822"/>
      <w:bookmarkStart w:id="161" w:name="_Toc498681352"/>
      <w:bookmarkStart w:id="162" w:name="_Toc498707161"/>
      <w:bookmarkStart w:id="163" w:name="_Toc498707451"/>
      <w:bookmarkStart w:id="164" w:name="_Toc498707463"/>
      <w:bookmarkStart w:id="165" w:name="_Toc498707744"/>
      <w:bookmarkStart w:id="166" w:name="_Toc498708155"/>
      <w:bookmarkStart w:id="167" w:name="_Toc498708255"/>
      <w:bookmarkStart w:id="168" w:name="_Toc498708421"/>
      <w:bookmarkStart w:id="169" w:name="_Toc498714722"/>
      <w:bookmarkStart w:id="170" w:name="_Toc498714739"/>
      <w:bookmarkStart w:id="171" w:name="_Toc498716908"/>
      <w:bookmarkStart w:id="172" w:name="_Toc498716973"/>
      <w:bookmarkStart w:id="173" w:name="_Toc498720476"/>
      <w:bookmarkStart w:id="174" w:name="_Toc498720512"/>
      <w:r>
        <w:t xml:space="preserve">Proposal </w:t>
      </w:r>
      <w:fldSimple w:instr=" SEQ Proposal \* ARABIC ">
        <w:r w:rsidR="00887472">
          <w:rPr>
            <w:noProof/>
          </w:rPr>
          <w:t>8</w:t>
        </w:r>
      </w:fldSimple>
      <w:r>
        <w:t xml:space="preserve">: </w:t>
      </w:r>
      <w:r>
        <w:rPr>
          <w:lang w:val="en-GB"/>
        </w:rPr>
        <w:t>Improved CA/BWP activation/deactivation timeline should be considered for NR compared to LTE.</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37C69EE4" w14:textId="74C2EE45" w:rsidR="00C3160D" w:rsidRPr="00587607" w:rsidRDefault="00C3160D" w:rsidP="00C3160D">
      <w:pPr>
        <w:pStyle w:val="ListParagraph"/>
        <w:numPr>
          <w:ilvl w:val="0"/>
          <w:numId w:val="34"/>
        </w:numPr>
        <w:rPr>
          <w:b/>
        </w:rPr>
      </w:pPr>
      <w:r w:rsidRPr="00587607">
        <w:rPr>
          <w:b/>
        </w:rPr>
        <w:t xml:space="preserve">ACK timing and action time for CA/BWP activation/deactivation should be further </w:t>
      </w:r>
      <w:r w:rsidR="000178F8">
        <w:rPr>
          <w:b/>
        </w:rPr>
        <w:t>discussed</w:t>
      </w:r>
      <w:r w:rsidR="000178F8" w:rsidRPr="00587607">
        <w:rPr>
          <w:b/>
        </w:rPr>
        <w:t xml:space="preserve"> </w:t>
      </w:r>
      <w:r w:rsidRPr="00587607">
        <w:rPr>
          <w:b/>
        </w:rPr>
        <w:t>in RAN1.</w:t>
      </w:r>
    </w:p>
    <w:p w14:paraId="59CA5982" w14:textId="3793EDB2" w:rsidR="00C3160D" w:rsidRDefault="00C3160D" w:rsidP="00C3160D">
      <w:pPr>
        <w:pStyle w:val="ListParagraph"/>
        <w:numPr>
          <w:ilvl w:val="0"/>
          <w:numId w:val="34"/>
        </w:numPr>
        <w:rPr>
          <w:b/>
        </w:rPr>
      </w:pPr>
      <w:r w:rsidRPr="00587607">
        <w:rPr>
          <w:b/>
        </w:rPr>
        <w:t>Improved overall CA/BWP activation timeline that UE is ready to report valid CSI report should be further studied in RAN4.</w:t>
      </w:r>
    </w:p>
    <w:p w14:paraId="4112A978" w14:textId="78BE6537" w:rsidR="00E4607D" w:rsidRDefault="00E4607D" w:rsidP="00E4607D">
      <w:pPr>
        <w:rPr>
          <w:b/>
        </w:rPr>
      </w:pPr>
    </w:p>
    <w:p w14:paraId="483471E6" w14:textId="7E2B5582" w:rsidR="00803B79" w:rsidRDefault="00803B79" w:rsidP="00803B79">
      <w:pPr>
        <w:pStyle w:val="Heading1"/>
        <w:textAlignment w:val="auto"/>
      </w:pPr>
      <w:r>
        <w:t xml:space="preserve">Dynamic HARQ-ACK </w:t>
      </w:r>
      <w:r w:rsidR="00A96F9C">
        <w:t>F</w:t>
      </w:r>
      <w:r>
        <w:t>eedback</w:t>
      </w:r>
    </w:p>
    <w:p w14:paraId="2977A87D" w14:textId="77777777" w:rsidR="00736803" w:rsidRDefault="00736803" w:rsidP="00736803">
      <w:pPr>
        <w:rPr>
          <w:lang w:val="en-GB"/>
        </w:rPr>
      </w:pPr>
      <w:r>
        <w:rPr>
          <w:lang w:val="en-GB"/>
        </w:rPr>
        <w:t>(</w:t>
      </w:r>
      <w:r w:rsidRPr="00736803">
        <w:rPr>
          <w:i/>
          <w:lang w:val="en-GB"/>
        </w:rPr>
        <w:t xml:space="preserve">This section </w:t>
      </w:r>
      <w:r>
        <w:rPr>
          <w:i/>
          <w:lang w:val="en-GB"/>
        </w:rPr>
        <w:t>contains new material</w:t>
      </w:r>
      <w:r>
        <w:rPr>
          <w:lang w:val="en-GB"/>
        </w:rPr>
        <w:t>)</w:t>
      </w:r>
    </w:p>
    <w:p w14:paraId="1F027267" w14:textId="2E2939F8" w:rsidR="00803B79" w:rsidRPr="00C81823" w:rsidRDefault="00803B79" w:rsidP="00803B79">
      <w:pPr>
        <w:jc w:val="both"/>
        <w:rPr>
          <w:lang w:val="en-GB"/>
        </w:rPr>
      </w:pPr>
      <w:r>
        <w:rPr>
          <w:lang w:val="en-GB"/>
        </w:rPr>
        <w:t xml:space="preserve">In LTE, the concept of downlink assignment index (DAI) is proposed to solve the many-to-one mapping problem of HARQ ACK/NACK feedback. Specially, it is designed to alleviate the ambiguity between the eNB and UE regarding the total-size and index of scheduled TBs in a single PUCCH transmission. Two DCI fields are introduced: DAI counter and total DAI value, each with two bits. As illustrated in </w:t>
      </w:r>
      <w:r>
        <w:rPr>
          <w:lang w:val="en-GB"/>
        </w:rPr>
        <w:fldChar w:fldCharType="begin"/>
      </w:r>
      <w:r>
        <w:rPr>
          <w:lang w:val="en-GB"/>
        </w:rPr>
        <w:instrText xml:space="preserve"> REF _Ref498609982 \h  \* MERGEFORMAT </w:instrText>
      </w:r>
      <w:r>
        <w:rPr>
          <w:lang w:val="en-GB"/>
        </w:rPr>
      </w:r>
      <w:r>
        <w:rPr>
          <w:lang w:val="en-GB"/>
        </w:rPr>
        <w:fldChar w:fldCharType="separate"/>
      </w:r>
      <w:r w:rsidR="00887472">
        <w:t xml:space="preserve">Figure </w:t>
      </w:r>
      <w:r w:rsidR="00887472">
        <w:rPr>
          <w:noProof/>
        </w:rPr>
        <w:t>5</w:t>
      </w:r>
      <w:r>
        <w:rPr>
          <w:lang w:val="en-GB"/>
        </w:rPr>
        <w:fldChar w:fldCharType="end"/>
      </w:r>
      <w:r>
        <w:rPr>
          <w:lang w:val="en-GB"/>
        </w:rPr>
        <w:t>, the DAI counter accumulates in a frequency first and time second fashion. UE treats missing values in observed DAI sequence as missing grant and report NACK in the PUCCH feedback. With 2-bit modulo-4 DAI counter, the scheme is robust to any consecutive three missing grants, and with 2-bit total DAI field, the issue of PUCCH payload size ambiguity caused by missing the last few grants is alleviated.</w:t>
      </w:r>
    </w:p>
    <w:p w14:paraId="3BEB97D5" w14:textId="77777777" w:rsidR="00803B79" w:rsidRDefault="00803B79" w:rsidP="00803B79">
      <w:pPr>
        <w:keepNext/>
        <w:jc w:val="center"/>
      </w:pPr>
      <w:r>
        <w:object w:dxaOrig="8435" w:dyaOrig="2136" w14:anchorId="050F71A7">
          <v:shape id="_x0000_i1029" type="#_x0000_t75" style="width:421.15pt;height:107.3pt" o:ole="">
            <v:imagedata r:id="rId20" o:title=""/>
          </v:shape>
          <o:OLEObject Type="Embed" ProgID="Visio.Drawing.11" ShapeID="_x0000_i1029" DrawAspect="Content" ObjectID="_1572465389" r:id="rId21"/>
        </w:object>
      </w:r>
    </w:p>
    <w:p w14:paraId="582CABFB" w14:textId="6C1C4483" w:rsidR="00803B79" w:rsidRDefault="00803B79" w:rsidP="00803B79">
      <w:pPr>
        <w:pStyle w:val="Caption"/>
        <w:jc w:val="center"/>
      </w:pPr>
      <w:bookmarkStart w:id="175" w:name="_Ref498609982"/>
      <w:r>
        <w:t xml:space="preserve">Figure </w:t>
      </w:r>
      <w:fldSimple w:instr=" SEQ Figure \* ARABIC ">
        <w:r w:rsidR="00887472">
          <w:rPr>
            <w:noProof/>
          </w:rPr>
          <w:t>5</w:t>
        </w:r>
      </w:fldSimple>
      <w:bookmarkEnd w:id="175"/>
      <w:r>
        <w:t xml:space="preserve"> DAI-based dynamic HARQ-ACK feedback mechanism in LTE</w:t>
      </w:r>
    </w:p>
    <w:p w14:paraId="44CEA1B6" w14:textId="77777777" w:rsidR="00803B79" w:rsidRDefault="00803B79" w:rsidP="00803B79">
      <w:pPr>
        <w:jc w:val="both"/>
      </w:pPr>
      <w:r>
        <w:t>NR presents several challenges in the design of robust HARQ-ACK feedback mechanism: First of all, the HARQ ACK/NACK timeline is dynamic, as the K1 value (time between downlink data transmission and uplink ACK/NACK feedback) is dynamically indicated in the DCI, which makes it hard to define the multiplexing/bundle-window concept in LTE. Moreover, the large range of K1 values leads to potentially large field in DCI; Secondly, the number of CBGs for each downlink assignment could be different, leading to potentially different ACK/NACK payload sizes across slots/CC.</w:t>
      </w:r>
    </w:p>
    <w:p w14:paraId="461EA1AD" w14:textId="77777777" w:rsidR="00803B79" w:rsidRDefault="00803B79" w:rsidP="00803B79">
      <w:pPr>
        <w:jc w:val="both"/>
      </w:pPr>
      <w:r>
        <w:t>To tackle the dynamic HARQ ACK/NACK feedback problem in NR, in the subsequence three sub-section we present a complete solution package, involving</w:t>
      </w:r>
    </w:p>
    <w:p w14:paraId="202D4C88" w14:textId="77777777" w:rsidR="00803B79" w:rsidRDefault="00803B79" w:rsidP="00803B79">
      <w:pPr>
        <w:pStyle w:val="ListParagraph"/>
        <w:numPr>
          <w:ilvl w:val="0"/>
          <w:numId w:val="44"/>
        </w:numPr>
        <w:spacing w:after="0"/>
      </w:pPr>
      <w:r>
        <w:t>ACK/NACK payload-size dependent multiple DAI instances</w:t>
      </w:r>
    </w:p>
    <w:p w14:paraId="04DDB95A" w14:textId="77777777" w:rsidR="00803B79" w:rsidRDefault="00803B79" w:rsidP="00803B79">
      <w:pPr>
        <w:pStyle w:val="ListParagraph"/>
        <w:numPr>
          <w:ilvl w:val="0"/>
          <w:numId w:val="44"/>
        </w:numPr>
        <w:spacing w:after="0"/>
      </w:pPr>
      <w:r w:rsidRPr="00C95CC5">
        <w:t>RRC configured DCI field to K1 value mapping</w:t>
      </w:r>
    </w:p>
    <w:p w14:paraId="491C7129" w14:textId="77777777" w:rsidR="00803B79" w:rsidRPr="00C95CC5" w:rsidRDefault="00803B79" w:rsidP="00803B79">
      <w:pPr>
        <w:pStyle w:val="ListParagraph"/>
        <w:numPr>
          <w:ilvl w:val="0"/>
          <w:numId w:val="44"/>
        </w:numPr>
        <w:spacing w:after="180"/>
      </w:pPr>
      <w:r w:rsidRPr="00C95CC5">
        <w:t>PUCCH payload size quantization and DAI padding</w:t>
      </w:r>
    </w:p>
    <w:p w14:paraId="632E05F6" w14:textId="41B08A79" w:rsidR="00803B79" w:rsidRDefault="00803B79" w:rsidP="00803B79">
      <w:pPr>
        <w:jc w:val="both"/>
        <w:rPr>
          <w:lang w:val="en-GB"/>
        </w:rPr>
      </w:pPr>
      <w:r>
        <w:rPr>
          <w:lang w:val="en-GB"/>
        </w:rPr>
        <w:t>Note that the above three proposals are orthogonal and can be combined together.</w:t>
      </w:r>
    </w:p>
    <w:p w14:paraId="2CBD0A04" w14:textId="77777777" w:rsidR="00803B79" w:rsidRPr="00C95CC5" w:rsidRDefault="00803B79" w:rsidP="00803B79">
      <w:pPr>
        <w:jc w:val="both"/>
        <w:rPr>
          <w:lang w:val="en-GB"/>
        </w:rPr>
      </w:pPr>
    </w:p>
    <w:p w14:paraId="77A7A6EC" w14:textId="77777777" w:rsidR="00803B79" w:rsidRDefault="00803B79" w:rsidP="00803B79">
      <w:pPr>
        <w:pStyle w:val="Heading2"/>
      </w:pPr>
      <w:r>
        <w:t>ACK/NACK payload-size dependent multiple DAI instances</w:t>
      </w:r>
      <w:r w:rsidRPr="00473D61">
        <w:t xml:space="preserve"> </w:t>
      </w:r>
    </w:p>
    <w:p w14:paraId="75BBB5E6" w14:textId="0A701CFB" w:rsidR="00803B79" w:rsidRDefault="00803B79" w:rsidP="00803B79">
      <w:pPr>
        <w:jc w:val="both"/>
      </w:pPr>
      <w:r>
        <w:t>NR already agreed to support CBG based retransmission, where the number of CBGs can be RRC configured. With LTE’s DAI design, even though UE could detect missing grants, it cannot infer the expected ACK/NACK payload size for the missing grants. To solve this issue, we propose to have the multiple DAI instances, one for each ACK/NACK payload size, formally stated below</w:t>
      </w:r>
    </w:p>
    <w:p w14:paraId="0A148FB2" w14:textId="0F59032F" w:rsidR="00803B79" w:rsidRDefault="00803B79" w:rsidP="00803B79">
      <w:pPr>
        <w:pStyle w:val="Caption"/>
        <w:rPr>
          <w:lang w:val="en-GB"/>
        </w:rPr>
      </w:pPr>
      <w:bookmarkStart w:id="176" w:name="_Toc498680823"/>
      <w:bookmarkStart w:id="177" w:name="_Toc498681353"/>
      <w:bookmarkStart w:id="178" w:name="_Toc498707162"/>
      <w:bookmarkStart w:id="179" w:name="_Toc498707452"/>
      <w:bookmarkStart w:id="180" w:name="_Toc498707464"/>
      <w:bookmarkStart w:id="181" w:name="_Toc498707745"/>
      <w:bookmarkStart w:id="182" w:name="_Toc498708156"/>
      <w:bookmarkStart w:id="183" w:name="_Toc498708256"/>
      <w:bookmarkStart w:id="184" w:name="_Toc498708422"/>
      <w:bookmarkStart w:id="185" w:name="_Toc498714723"/>
      <w:bookmarkStart w:id="186" w:name="_Toc498714740"/>
      <w:bookmarkStart w:id="187" w:name="_Toc498716909"/>
      <w:bookmarkStart w:id="188" w:name="_Toc498716974"/>
      <w:bookmarkStart w:id="189" w:name="_Toc498720477"/>
      <w:bookmarkStart w:id="190" w:name="_Toc498720513"/>
      <w:r>
        <w:t xml:space="preserve">Proposal </w:t>
      </w:r>
      <w:fldSimple w:instr=" SEQ Proposal \* ARABIC ">
        <w:r w:rsidR="00887472">
          <w:rPr>
            <w:noProof/>
          </w:rPr>
          <w:t>9</w:t>
        </w:r>
      </w:fldSimple>
      <w:r>
        <w:t>:</w:t>
      </w:r>
      <w:r w:rsidRPr="00803B79">
        <w:rPr>
          <w:lang w:val="en-GB"/>
        </w:rPr>
        <w:t xml:space="preserve"> </w:t>
      </w:r>
      <w:r>
        <w:rPr>
          <w:lang w:val="en-GB"/>
        </w:rPr>
        <w:t>NR adopts multiple DAI instances, with each DAI instance corresponds to a specific ACK-NACK payload size.</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r w:rsidR="002C08A0">
        <w:rPr>
          <w:lang w:val="en-GB"/>
        </w:rPr>
        <w:t xml:space="preserve"> </w:t>
      </w:r>
    </w:p>
    <w:p w14:paraId="677F637E" w14:textId="6F1A577F" w:rsidR="002C08A0" w:rsidRPr="002C08A0" w:rsidRDefault="002C08A0" w:rsidP="006A76A6">
      <w:pPr>
        <w:pStyle w:val="ListParagraph"/>
        <w:numPr>
          <w:ilvl w:val="0"/>
          <w:numId w:val="45"/>
        </w:numPr>
      </w:pPr>
      <w:r>
        <w:t>For example, each DAI instance can correspond to a specific CBG size.</w:t>
      </w:r>
    </w:p>
    <w:p w14:paraId="16C3BFD9" w14:textId="496AF295" w:rsidR="00803B79" w:rsidRDefault="00803B79" w:rsidP="00803B79">
      <w:pPr>
        <w:jc w:val="both"/>
        <w:rPr>
          <w:lang w:val="en-GB"/>
        </w:rPr>
      </w:pPr>
      <w:r>
        <w:rPr>
          <w:lang w:val="en-GB"/>
        </w:rPr>
        <w:fldChar w:fldCharType="begin"/>
      </w:r>
      <w:r>
        <w:rPr>
          <w:lang w:val="en-GB"/>
        </w:rPr>
        <w:instrText xml:space="preserve"> REF _Ref498612351 \h </w:instrText>
      </w:r>
      <w:r>
        <w:rPr>
          <w:lang w:val="en-GB"/>
        </w:rPr>
      </w:r>
      <w:r>
        <w:rPr>
          <w:lang w:val="en-GB"/>
        </w:rPr>
        <w:fldChar w:fldCharType="separate"/>
      </w:r>
      <w:r w:rsidR="00887472">
        <w:t xml:space="preserve">Figure </w:t>
      </w:r>
      <w:r w:rsidR="00887472">
        <w:rPr>
          <w:noProof/>
        </w:rPr>
        <w:t>6</w:t>
      </w:r>
      <w:r>
        <w:rPr>
          <w:lang w:val="en-GB"/>
        </w:rPr>
        <w:fldChar w:fldCharType="end"/>
      </w:r>
      <w:r>
        <w:rPr>
          <w:lang w:val="en-GB"/>
        </w:rPr>
        <w:t xml:space="preserve"> illustrates the multiple DAI instance proposal, where we showed the case where CC1 and CC4 are configured with TB-based retransmission whereas CC2 and CC3 are configured with CBG-based retransmission with #CBG=4. Note that we intentionally label the slot2 in CC3 as TB-based given that gNB may use fall-back DCI to indicate TB-based transmission even though the component carrier itself default to CBG based one. </w:t>
      </w:r>
    </w:p>
    <w:p w14:paraId="6EA3A220" w14:textId="77777777" w:rsidR="00803B79" w:rsidRPr="00805015" w:rsidRDefault="00803B79" w:rsidP="00803B79">
      <w:pPr>
        <w:rPr>
          <w:lang w:val="en-GB"/>
        </w:rPr>
      </w:pPr>
    </w:p>
    <w:p w14:paraId="168F8B9B" w14:textId="77777777" w:rsidR="00803B79" w:rsidRDefault="00803B79" w:rsidP="00803B79">
      <w:pPr>
        <w:keepNext/>
        <w:jc w:val="center"/>
      </w:pPr>
      <w:r>
        <w:object w:dxaOrig="8435" w:dyaOrig="2265" w14:anchorId="3C87CD70">
          <v:shape id="_x0000_i1030" type="#_x0000_t75" style="width:421.15pt;height:113.45pt" o:ole="">
            <v:imagedata r:id="rId22" o:title=""/>
          </v:shape>
          <o:OLEObject Type="Embed" ProgID="Visio.Drawing.11" ShapeID="_x0000_i1030" DrawAspect="Content" ObjectID="_1572465390" r:id="rId23"/>
        </w:object>
      </w:r>
    </w:p>
    <w:p w14:paraId="1BEB7507" w14:textId="668F524F" w:rsidR="00803B79" w:rsidRDefault="00803B79" w:rsidP="00803B79">
      <w:pPr>
        <w:pStyle w:val="Caption"/>
      </w:pPr>
      <w:bookmarkStart w:id="191" w:name="_Ref498612351"/>
      <w:r>
        <w:t xml:space="preserve">Figure </w:t>
      </w:r>
      <w:fldSimple w:instr=" SEQ Figure \* ARABIC ">
        <w:r w:rsidR="00887472">
          <w:rPr>
            <w:noProof/>
          </w:rPr>
          <w:t>6</w:t>
        </w:r>
      </w:fldSimple>
      <w:bookmarkEnd w:id="191"/>
      <w:r>
        <w:t xml:space="preserve"> ACK-NACK payload size dependent DAI instances (two DAI instances, one for #CBG=1, one of #CBG=4)</w:t>
      </w:r>
    </w:p>
    <w:p w14:paraId="3F01A379" w14:textId="77777777" w:rsidR="00736803" w:rsidRPr="00736803" w:rsidRDefault="00736803" w:rsidP="00736803"/>
    <w:p w14:paraId="32F55E77" w14:textId="77777777" w:rsidR="00803B79" w:rsidRDefault="00803B79" w:rsidP="00803B79">
      <w:pPr>
        <w:pStyle w:val="Heading2"/>
      </w:pPr>
      <w:r>
        <w:lastRenderedPageBreak/>
        <w:t>RRC configured DCI field to K1 value mapping</w:t>
      </w:r>
    </w:p>
    <w:p w14:paraId="2FC206CC" w14:textId="1007F032" w:rsidR="00803B79" w:rsidRPr="007345BC" w:rsidRDefault="00803B79" w:rsidP="00803B79">
      <w:pPr>
        <w:pStyle w:val="Caption"/>
        <w:keepNext/>
        <w:jc w:val="both"/>
        <w:rPr>
          <w:b w:val="0"/>
        </w:rPr>
      </w:pPr>
      <w:r w:rsidRPr="00C96835">
        <w:rPr>
          <w:b w:val="0"/>
          <w:lang w:val="en-GB"/>
        </w:rPr>
        <w:t>To allow full flexibility regarding HARQ timeline, it is inevitable to have a large range of K1 values, leading to an inflated DCI field. On the other hand, the range of K1 values permissible for each individual UE and each component carrier are most likely limited. Thus, it makes sense to allow the RRC configuration of UE-specific and/or CC-specific DCI-field-to-K1-value mapping to address a flexible range of K1 values with just limited DCI field size</w:t>
      </w:r>
      <w:r w:rsidR="00C96835">
        <w:rPr>
          <w:b w:val="0"/>
        </w:rPr>
        <w:t xml:space="preserve">. </w:t>
      </w:r>
      <w:r>
        <w:rPr>
          <w:b w:val="0"/>
        </w:rPr>
        <w:t xml:space="preserve">In </w:t>
      </w:r>
      <w:r w:rsidRPr="007345BC">
        <w:rPr>
          <w:b w:val="0"/>
        </w:rPr>
        <w:fldChar w:fldCharType="begin"/>
      </w:r>
      <w:r w:rsidRPr="007345BC">
        <w:rPr>
          <w:b w:val="0"/>
        </w:rPr>
        <w:instrText xml:space="preserve"> REF _Ref498613048 \h  \* MERGEFORMAT </w:instrText>
      </w:r>
      <w:r w:rsidRPr="007345BC">
        <w:rPr>
          <w:b w:val="0"/>
        </w:rPr>
      </w:r>
      <w:r w:rsidRPr="007345BC">
        <w:rPr>
          <w:b w:val="0"/>
        </w:rPr>
        <w:fldChar w:fldCharType="separate"/>
      </w:r>
      <w:r w:rsidR="00887472" w:rsidRPr="00A11DF9">
        <w:rPr>
          <w:b w:val="0"/>
        </w:rPr>
        <w:t xml:space="preserve">Figure </w:t>
      </w:r>
      <w:r w:rsidR="00887472" w:rsidRPr="00A11DF9">
        <w:rPr>
          <w:b w:val="0"/>
          <w:noProof/>
        </w:rPr>
        <w:t>7</w:t>
      </w:r>
      <w:r w:rsidRPr="007345BC">
        <w:rPr>
          <w:b w:val="0"/>
        </w:rPr>
        <w:fldChar w:fldCharType="end"/>
      </w:r>
      <w:r>
        <w:rPr>
          <w:b w:val="0"/>
        </w:rPr>
        <w:t xml:space="preserve">, we highlighted the slots that can belong to the same PUCCH ACK/NACK multiplexing group conforming to the </w:t>
      </w:r>
      <w:r w:rsidR="000915CE">
        <w:rPr>
          <w:b w:val="0"/>
        </w:rPr>
        <w:t xml:space="preserve">K1 values configured by RRC (shown on the left of the figure) </w:t>
      </w:r>
      <w:r>
        <w:rPr>
          <w:b w:val="0"/>
        </w:rPr>
        <w:t xml:space="preserve">. </w:t>
      </w:r>
    </w:p>
    <w:p w14:paraId="63098F69" w14:textId="77777777" w:rsidR="00803B79" w:rsidRPr="00F27370" w:rsidRDefault="00803B79" w:rsidP="00803B79">
      <w:pPr>
        <w:rPr>
          <w:lang w:val="en-GB"/>
        </w:rPr>
      </w:pPr>
    </w:p>
    <w:p w14:paraId="00CF9F64" w14:textId="77777777" w:rsidR="00803B79" w:rsidRDefault="00803B79" w:rsidP="00803B79">
      <w:pPr>
        <w:keepNext/>
      </w:pPr>
      <w:r>
        <w:object w:dxaOrig="9155" w:dyaOrig="2208" w14:anchorId="40E11D40">
          <v:shape id="_x0000_i1031" type="#_x0000_t75" style="width:457.15pt;height:110.05pt" o:ole="">
            <v:imagedata r:id="rId24" o:title=""/>
          </v:shape>
          <o:OLEObject Type="Embed" ProgID="Visio.Drawing.11" ShapeID="_x0000_i1031" DrawAspect="Content" ObjectID="_1572465391" r:id="rId25"/>
        </w:object>
      </w:r>
    </w:p>
    <w:p w14:paraId="3822768D" w14:textId="56FCDC41" w:rsidR="00803B79" w:rsidRDefault="00803B79" w:rsidP="00803B79">
      <w:pPr>
        <w:pStyle w:val="Caption"/>
      </w:pPr>
      <w:bookmarkStart w:id="192" w:name="_Ref498613048"/>
      <w:r>
        <w:t xml:space="preserve">Figure </w:t>
      </w:r>
      <w:fldSimple w:instr=" SEQ Figure \* ARABIC ">
        <w:r w:rsidR="00887472">
          <w:rPr>
            <w:noProof/>
          </w:rPr>
          <w:t>7</w:t>
        </w:r>
      </w:fldSimple>
      <w:bookmarkEnd w:id="192"/>
      <w:r>
        <w:t xml:space="preserve"> The highlighted slots represent the set of slots that can belong to the same PUCCH ACK/NACK multiplexing group (permitted by the RRC configured K1 table as shown on the left)</w:t>
      </w:r>
    </w:p>
    <w:p w14:paraId="752B8680" w14:textId="77777777" w:rsidR="00736803" w:rsidRPr="00736803" w:rsidRDefault="00736803" w:rsidP="00736803"/>
    <w:p w14:paraId="1D2AD40C" w14:textId="77777777" w:rsidR="00803B79" w:rsidRDefault="00803B79" w:rsidP="00803B79">
      <w:pPr>
        <w:pStyle w:val="Heading2"/>
      </w:pPr>
      <w:r>
        <w:t>PUCCH payload size quantization and DAI padding</w:t>
      </w:r>
    </w:p>
    <w:p w14:paraId="0F15809E" w14:textId="77777777" w:rsidR="00803B79" w:rsidRDefault="00803B79" w:rsidP="00803B79">
      <w:pPr>
        <w:jc w:val="both"/>
        <w:rPr>
          <w:lang w:val="en-GB"/>
        </w:rPr>
      </w:pPr>
      <w:r>
        <w:rPr>
          <w:lang w:val="en-GB"/>
        </w:rPr>
        <w:t xml:space="preserve">In LTE, both DAI counter and total DAI are introduced, each with 2 bits, with the former to aid the detection of missing grant in the middle and the latter to improve the robustness against the missing grant at the end. In this subsection, we introduce the concept of PUCCH-payload size quantization, which, by combining with DAI padding, warrants the use of a DAI counter without the indication of the total DAI. Since the total DAI field is removed, we can increase the DAI counter field to 3 bits with improved immunity against consecutive grant misses. </w:t>
      </w:r>
    </w:p>
    <w:p w14:paraId="46F3DFFA" w14:textId="28C8ACC0" w:rsidR="00803B79" w:rsidRDefault="00803B79" w:rsidP="00803B79">
      <w:pPr>
        <w:jc w:val="both"/>
        <w:rPr>
          <w:lang w:val="en-GB"/>
        </w:rPr>
      </w:pPr>
      <w:r>
        <w:rPr>
          <w:lang w:val="en-GB"/>
        </w:rPr>
        <w:t xml:space="preserve">In PUCCH-payload size quantization, we assume that the number of multiplexed ACK/NACK feedbacks are always a multiplex of M, in other words, UE always pads its PUCCH payload size to the smallest multiple of M. This way, even without total DAI indication, the UE can still, to some extent, be immune to missing grants towards the end. More precisely, if the total number of scheduled slots is M*n + k, then UE can combat missing the last k-1 grants, given that UE will pad NACK to the multiplex payload to M*(n+1). The scheme is illustrated in </w:t>
      </w:r>
      <w:r>
        <w:rPr>
          <w:lang w:val="en-GB"/>
        </w:rPr>
        <w:fldChar w:fldCharType="begin"/>
      </w:r>
      <w:r>
        <w:rPr>
          <w:lang w:val="en-GB"/>
        </w:rPr>
        <w:instrText xml:space="preserve"> REF _Ref498614827 \h  \* MERGEFORMAT </w:instrText>
      </w:r>
      <w:r>
        <w:rPr>
          <w:lang w:val="en-GB"/>
        </w:rPr>
      </w:r>
      <w:r>
        <w:rPr>
          <w:lang w:val="en-GB"/>
        </w:rPr>
        <w:fldChar w:fldCharType="separate"/>
      </w:r>
      <w:r w:rsidR="00887472">
        <w:t xml:space="preserve">Figure </w:t>
      </w:r>
      <w:r w:rsidR="00887472">
        <w:rPr>
          <w:noProof/>
        </w:rPr>
        <w:t>8</w:t>
      </w:r>
      <w:r>
        <w:rPr>
          <w:lang w:val="en-GB"/>
        </w:rPr>
        <w:fldChar w:fldCharType="end"/>
      </w:r>
      <w:r>
        <w:rPr>
          <w:lang w:val="en-GB"/>
        </w:rPr>
        <w:t>.</w:t>
      </w:r>
    </w:p>
    <w:p w14:paraId="7D6ADDE6" w14:textId="23BB8442" w:rsidR="00803B79" w:rsidRPr="00E63434" w:rsidRDefault="00803B79" w:rsidP="00803B79">
      <w:pPr>
        <w:pStyle w:val="Caption"/>
        <w:rPr>
          <w:lang w:val="en-GB"/>
        </w:rPr>
      </w:pPr>
      <w:bookmarkStart w:id="193" w:name="_Toc498680825"/>
      <w:bookmarkStart w:id="194" w:name="_Toc498681355"/>
      <w:r>
        <w:t xml:space="preserve">Proposal </w:t>
      </w:r>
      <w:r w:rsidR="000915CE">
        <w:t>8</w:t>
      </w:r>
      <w:r>
        <w:t xml:space="preserve">: </w:t>
      </w:r>
      <w:r>
        <w:rPr>
          <w:lang w:val="en-GB"/>
        </w:rPr>
        <w:t>NR considers the adaptation of PUCCH payload quantization using a 3-bit DAI counter without total DAI indication</w:t>
      </w:r>
      <w:bookmarkEnd w:id="193"/>
      <w:bookmarkEnd w:id="194"/>
    </w:p>
    <w:p w14:paraId="14288610" w14:textId="77777777" w:rsidR="00803B79" w:rsidRDefault="00803B79" w:rsidP="00803B79">
      <w:pPr>
        <w:spacing w:after="0"/>
        <w:rPr>
          <w:lang w:val="en-GB"/>
        </w:rPr>
      </w:pPr>
    </w:p>
    <w:p w14:paraId="71ABDD8A" w14:textId="6DA5A4BC" w:rsidR="00803B79" w:rsidRDefault="00803B79" w:rsidP="00803B79">
      <w:pPr>
        <w:spacing w:after="0"/>
        <w:jc w:val="both"/>
        <w:rPr>
          <w:lang w:val="en-GB"/>
        </w:rPr>
      </w:pPr>
      <w:r>
        <w:rPr>
          <w:lang w:val="en-GB"/>
        </w:rPr>
        <w:t xml:space="preserve">To further enhance the robustness of the system, as an implementation choice, gNB may artificially and opportunistically inflate the DAI counter for a more favourable ending DAI index – a technique that we call </w:t>
      </w:r>
      <w:r w:rsidRPr="0047759B">
        <w:rPr>
          <w:i/>
          <w:lang w:val="en-GB"/>
        </w:rPr>
        <w:t>DAI padding</w:t>
      </w:r>
      <w:r>
        <w:rPr>
          <w:lang w:val="en-GB"/>
        </w:rPr>
        <w:t xml:space="preserve">. To elaborate, let us compare the two scenarios illustrated in </w:t>
      </w:r>
      <w:r>
        <w:rPr>
          <w:lang w:val="en-GB"/>
        </w:rPr>
        <w:fldChar w:fldCharType="begin"/>
      </w:r>
      <w:r>
        <w:rPr>
          <w:lang w:val="en-GB"/>
        </w:rPr>
        <w:instrText xml:space="preserve"> REF _Ref498614827 \h  \* MERGEFORMAT </w:instrText>
      </w:r>
      <w:r>
        <w:rPr>
          <w:lang w:val="en-GB"/>
        </w:rPr>
      </w:r>
      <w:r>
        <w:rPr>
          <w:lang w:val="en-GB"/>
        </w:rPr>
        <w:fldChar w:fldCharType="separate"/>
      </w:r>
      <w:r w:rsidR="00887472">
        <w:t xml:space="preserve">Figure </w:t>
      </w:r>
      <w:r w:rsidR="00887472">
        <w:rPr>
          <w:noProof/>
        </w:rPr>
        <w:t>8</w:t>
      </w:r>
      <w:r>
        <w:rPr>
          <w:lang w:val="en-GB"/>
        </w:rPr>
        <w:fldChar w:fldCharType="end"/>
      </w:r>
      <w:r>
        <w:rPr>
          <w:lang w:val="en-GB"/>
        </w:rPr>
        <w:t xml:space="preserve"> and </w:t>
      </w:r>
      <w:r>
        <w:rPr>
          <w:lang w:val="en-GB"/>
        </w:rPr>
        <w:fldChar w:fldCharType="begin"/>
      </w:r>
      <w:r>
        <w:rPr>
          <w:lang w:val="en-GB"/>
        </w:rPr>
        <w:instrText xml:space="preserve"> REF _Ref498614978 \h  \* MERGEFORMAT </w:instrText>
      </w:r>
      <w:r>
        <w:rPr>
          <w:lang w:val="en-GB"/>
        </w:rPr>
      </w:r>
      <w:r>
        <w:rPr>
          <w:lang w:val="en-GB"/>
        </w:rPr>
        <w:fldChar w:fldCharType="separate"/>
      </w:r>
      <w:r w:rsidR="00887472">
        <w:t xml:space="preserve">Figure </w:t>
      </w:r>
      <w:r w:rsidR="00887472">
        <w:rPr>
          <w:noProof/>
        </w:rPr>
        <w:t>9</w:t>
      </w:r>
      <w:r>
        <w:rPr>
          <w:lang w:val="en-GB"/>
        </w:rPr>
        <w:fldChar w:fldCharType="end"/>
      </w:r>
      <w:r>
        <w:rPr>
          <w:lang w:val="en-GB"/>
        </w:rPr>
        <w:t xml:space="preserve">: In both figures, there are a total of 10 slots scheduled. With PUCCH payload quantization granularity of M=4, as shown in </w:t>
      </w:r>
      <w:r>
        <w:rPr>
          <w:lang w:val="en-GB"/>
        </w:rPr>
        <w:fldChar w:fldCharType="begin"/>
      </w:r>
      <w:r>
        <w:rPr>
          <w:lang w:val="en-GB"/>
        </w:rPr>
        <w:instrText xml:space="preserve"> REF _Ref498614827 \h  \* MERGEFORMAT </w:instrText>
      </w:r>
      <w:r>
        <w:rPr>
          <w:lang w:val="en-GB"/>
        </w:rPr>
      </w:r>
      <w:r>
        <w:rPr>
          <w:lang w:val="en-GB"/>
        </w:rPr>
        <w:fldChar w:fldCharType="separate"/>
      </w:r>
      <w:r w:rsidR="00887472">
        <w:t xml:space="preserve">Figure </w:t>
      </w:r>
      <w:r w:rsidR="00887472">
        <w:rPr>
          <w:noProof/>
        </w:rPr>
        <w:t>8</w:t>
      </w:r>
      <w:r>
        <w:rPr>
          <w:lang w:val="en-GB"/>
        </w:rPr>
        <w:fldChar w:fldCharType="end"/>
      </w:r>
      <w:r>
        <w:rPr>
          <w:lang w:val="en-GB"/>
        </w:rPr>
        <w:t xml:space="preserve">, the last DAI index is 1, which means that the system can sustain just one missing grant at the end; </w:t>
      </w:r>
      <w:r>
        <w:rPr>
          <w:lang w:val="en-GB"/>
        </w:rPr>
        <w:fldChar w:fldCharType="begin"/>
      </w:r>
      <w:r>
        <w:rPr>
          <w:lang w:val="en-GB"/>
        </w:rPr>
        <w:instrText xml:space="preserve"> REF _Ref498614978 \h  \* MERGEFORMAT </w:instrText>
      </w:r>
      <w:r>
        <w:rPr>
          <w:lang w:val="en-GB"/>
        </w:rPr>
      </w:r>
      <w:r>
        <w:rPr>
          <w:lang w:val="en-GB"/>
        </w:rPr>
        <w:fldChar w:fldCharType="separate"/>
      </w:r>
      <w:r w:rsidR="00887472">
        <w:t xml:space="preserve">Figure </w:t>
      </w:r>
      <w:r w:rsidR="00887472">
        <w:rPr>
          <w:noProof/>
        </w:rPr>
        <w:t>9</w:t>
      </w:r>
      <w:r>
        <w:rPr>
          <w:lang w:val="en-GB"/>
        </w:rPr>
        <w:fldChar w:fldCharType="end"/>
      </w:r>
      <w:r>
        <w:rPr>
          <w:lang w:val="en-GB"/>
        </w:rPr>
        <w:t xml:space="preserve"> illustrates the same setting except that the gNB, based on its running DAI counter and potentially limited projection, decides to pad a phantom DAI=5 without associating with any actual scheduled PDSCH. In this case, the DAI counter jumped from DAI=4 to DAI=6. With this artificial DAI padding, the ending DAI becomes 2, meaning that the system is now robust to two consecutive missing grants at the end, an enhancement compared with the case without DAI padding. There are two implications due to DAI padding:</w:t>
      </w:r>
    </w:p>
    <w:p w14:paraId="695EED25" w14:textId="77777777" w:rsidR="00803B79" w:rsidRDefault="00803B79" w:rsidP="00803B79">
      <w:pPr>
        <w:pStyle w:val="ListParagraph"/>
        <w:numPr>
          <w:ilvl w:val="0"/>
          <w:numId w:val="43"/>
        </w:numPr>
        <w:spacing w:after="0"/>
        <w:jc w:val="both"/>
      </w:pPr>
      <w:r>
        <w:t>Because of artificially injected “missing grant”, we can no longer guarantee that the system is robust against 2^m – 1 consecutive missing grants in the middle for a m-bit modulo-2^m DAI counter. With the proposed m=3 for DAI counter, this is no longer an issue.</w:t>
      </w:r>
    </w:p>
    <w:p w14:paraId="79BC8193" w14:textId="71762313" w:rsidR="00803B79" w:rsidRDefault="00803B79" w:rsidP="00803B79">
      <w:pPr>
        <w:pStyle w:val="ListParagraph"/>
        <w:numPr>
          <w:ilvl w:val="0"/>
          <w:numId w:val="43"/>
        </w:numPr>
        <w:spacing w:after="0"/>
        <w:jc w:val="both"/>
      </w:pPr>
      <w:r>
        <w:t xml:space="preserve">From UE perspective, ACK/NACK-padding should be mandated for any missing value in the DAI sequence, even if there can be no allocation that corresponds to the missing DAI index. Take the scenario in </w:t>
      </w:r>
      <w:r>
        <w:fldChar w:fldCharType="begin"/>
      </w:r>
      <w:r>
        <w:instrText xml:space="preserve"> REF _Ref498614978 \h  \* MERGEFORMAT </w:instrText>
      </w:r>
      <w:r>
        <w:fldChar w:fldCharType="separate"/>
      </w:r>
      <w:r w:rsidR="00887472">
        <w:t xml:space="preserve">Figure </w:t>
      </w:r>
      <w:r w:rsidR="00887472">
        <w:rPr>
          <w:noProof/>
        </w:rPr>
        <w:t>9</w:t>
      </w:r>
      <w:r>
        <w:fldChar w:fldCharType="end"/>
      </w:r>
      <w:r>
        <w:t xml:space="preserve"> as an example, even though UE knows that there can be no allocation between DAI=4 and DAI=6, it still needs to assume that this is a valid setting and pad NACK in the multiplexed PUCCH feedback.</w:t>
      </w:r>
    </w:p>
    <w:p w14:paraId="1B9AE043" w14:textId="77777777" w:rsidR="00803B79" w:rsidRDefault="00803B79" w:rsidP="00803B79">
      <w:pPr>
        <w:pStyle w:val="Caption"/>
      </w:pPr>
    </w:p>
    <w:p w14:paraId="3A7DF5B2" w14:textId="0FD43310" w:rsidR="00803B79" w:rsidRPr="0083096B" w:rsidRDefault="00803B79" w:rsidP="00803B79">
      <w:pPr>
        <w:pStyle w:val="Caption"/>
      </w:pPr>
      <w:bookmarkStart w:id="195" w:name="_Toc498707154"/>
      <w:bookmarkStart w:id="196" w:name="_Toc498707444"/>
      <w:bookmarkStart w:id="197" w:name="_Toc498707456"/>
      <w:bookmarkStart w:id="198" w:name="_Toc498707737"/>
      <w:bookmarkStart w:id="199" w:name="_Toc498708148"/>
      <w:bookmarkStart w:id="200" w:name="_Toc498708248"/>
      <w:bookmarkStart w:id="201" w:name="_Toc498708435"/>
      <w:bookmarkStart w:id="202" w:name="_Toc498716900"/>
      <w:bookmarkStart w:id="203" w:name="_Toc498720468"/>
      <w:bookmarkStart w:id="204" w:name="_Toc498720524"/>
      <w:r>
        <w:lastRenderedPageBreak/>
        <w:t xml:space="preserve">Observation </w:t>
      </w:r>
      <w:fldSimple w:instr=" SEQ Observation \* ARABIC ">
        <w:r w:rsidR="00887472">
          <w:rPr>
            <w:noProof/>
          </w:rPr>
          <w:t>2</w:t>
        </w:r>
      </w:fldSimple>
      <w:r>
        <w:t xml:space="preserve">: </w:t>
      </w:r>
      <w:r>
        <w:rPr>
          <w:lang w:val="en-GB"/>
        </w:rPr>
        <w:t xml:space="preserve">DAI padding can be used to enhance the robustness against missing grant towards the end. </w:t>
      </w:r>
      <w:r>
        <w:t>From gNB perspective, DAI padding can be an</w:t>
      </w:r>
      <w:r w:rsidRPr="005F21AA">
        <w:t xml:space="preserve"> implementation choice</w:t>
      </w:r>
      <w:r>
        <w:t xml:space="preserve">. From UE perspective, ACK/NACK-padding in the PUCCH is mandated </w:t>
      </w:r>
      <w:r w:rsidRPr="005F21AA">
        <w:t>for any gap in the DAI counter</w:t>
      </w:r>
      <w:r>
        <w:t>, irrespective of whether the gap is detected between two consecutive PDSCH allocation or not.</w:t>
      </w:r>
      <w:bookmarkEnd w:id="195"/>
      <w:bookmarkEnd w:id="196"/>
      <w:bookmarkEnd w:id="197"/>
      <w:bookmarkEnd w:id="198"/>
      <w:bookmarkEnd w:id="199"/>
      <w:bookmarkEnd w:id="200"/>
      <w:bookmarkEnd w:id="201"/>
      <w:bookmarkEnd w:id="202"/>
      <w:bookmarkEnd w:id="203"/>
      <w:bookmarkEnd w:id="204"/>
    </w:p>
    <w:p w14:paraId="12B5DE07" w14:textId="77777777" w:rsidR="00803B79" w:rsidRDefault="00803B79" w:rsidP="00803B79">
      <w:pPr>
        <w:keepNext/>
      </w:pPr>
    </w:p>
    <w:p w14:paraId="661372AE" w14:textId="77777777" w:rsidR="00803B79" w:rsidRDefault="00803B79" w:rsidP="00803B79">
      <w:pPr>
        <w:keepNext/>
      </w:pPr>
      <w:r>
        <w:object w:dxaOrig="9211" w:dyaOrig="2208" w14:anchorId="172BF8BE">
          <v:shape id="_x0000_i1032" type="#_x0000_t75" style="width:460.55pt;height:110.05pt" o:ole="">
            <v:imagedata r:id="rId26" o:title=""/>
          </v:shape>
          <o:OLEObject Type="Embed" ProgID="Visio.Drawing.11" ShapeID="_x0000_i1032" DrawAspect="Content" ObjectID="_1572465392" r:id="rId27"/>
        </w:object>
      </w:r>
    </w:p>
    <w:p w14:paraId="132369A3" w14:textId="4C995AEF" w:rsidR="00803B79" w:rsidRDefault="00803B79" w:rsidP="00803B79">
      <w:pPr>
        <w:pStyle w:val="Caption"/>
      </w:pPr>
      <w:bookmarkStart w:id="205" w:name="_Ref498614827"/>
      <w:r>
        <w:t xml:space="preserve">Figure </w:t>
      </w:r>
      <w:fldSimple w:instr=" SEQ Figure \* ARABIC ">
        <w:r w:rsidR="00887472">
          <w:rPr>
            <w:noProof/>
          </w:rPr>
          <w:t>8</w:t>
        </w:r>
      </w:fldSimple>
      <w:bookmarkEnd w:id="205"/>
      <w:r>
        <w:t xml:space="preserve"> PUCCH payload quantization (3-bit DAI counter; no total DAI; quantization size M=4)</w:t>
      </w:r>
    </w:p>
    <w:p w14:paraId="50983F52" w14:textId="77777777" w:rsidR="00803B79" w:rsidRDefault="00803B79" w:rsidP="00803B79"/>
    <w:p w14:paraId="7BC213F6" w14:textId="77777777" w:rsidR="00803B79" w:rsidRDefault="00803B79" w:rsidP="00803B79">
      <w:pPr>
        <w:keepNext/>
      </w:pPr>
      <w:r>
        <w:object w:dxaOrig="9211" w:dyaOrig="2225" w14:anchorId="0CF2585C">
          <v:shape id="_x0000_i1033" type="#_x0000_t75" style="width:460.55pt;height:110.7pt" o:ole="">
            <v:imagedata r:id="rId28" o:title=""/>
          </v:shape>
          <o:OLEObject Type="Embed" ProgID="Visio.Drawing.11" ShapeID="_x0000_i1033" DrawAspect="Content" ObjectID="_1572465393" r:id="rId29"/>
        </w:object>
      </w:r>
    </w:p>
    <w:p w14:paraId="5F84C923" w14:textId="4B2FCACB" w:rsidR="00803B79" w:rsidRDefault="00803B79" w:rsidP="00803B79">
      <w:pPr>
        <w:pStyle w:val="Caption"/>
        <w:rPr>
          <w:lang w:val="en-GB"/>
        </w:rPr>
      </w:pPr>
      <w:bookmarkStart w:id="206" w:name="_Ref498614978"/>
      <w:r>
        <w:t xml:space="preserve">Figure </w:t>
      </w:r>
      <w:fldSimple w:instr=" SEQ Figure \* ARABIC ">
        <w:r w:rsidR="00887472">
          <w:rPr>
            <w:noProof/>
          </w:rPr>
          <w:t>9</w:t>
        </w:r>
      </w:fldSimple>
      <w:bookmarkEnd w:id="206"/>
      <w:r>
        <w:t xml:space="preserve"> PUCCH payload quantization with DAI padding (enhanced robustness against grant missing towards the end)</w:t>
      </w:r>
    </w:p>
    <w:p w14:paraId="3A88F96F" w14:textId="77777777" w:rsidR="00E4607D" w:rsidRPr="00E4607D" w:rsidRDefault="00E4607D" w:rsidP="00E4607D">
      <w:pPr>
        <w:rPr>
          <w:b/>
        </w:rPr>
      </w:pPr>
    </w:p>
    <w:p w14:paraId="2D4BF34F" w14:textId="55C7DE76" w:rsidR="005A54DF" w:rsidRDefault="005713EF" w:rsidP="005A54DF">
      <w:pPr>
        <w:pStyle w:val="Heading1"/>
        <w:textAlignment w:val="auto"/>
      </w:pPr>
      <w:r>
        <w:t>CA with M</w:t>
      </w:r>
      <w:r w:rsidR="005A54DF">
        <w:t xml:space="preserve">ixed </w:t>
      </w:r>
      <w:r>
        <w:t>N</w:t>
      </w:r>
      <w:r w:rsidR="005A54DF">
        <w:t>umerology</w:t>
      </w:r>
    </w:p>
    <w:p w14:paraId="17437DD9" w14:textId="3337F346" w:rsidR="005713EF" w:rsidRDefault="005713EF" w:rsidP="005A54DF">
      <w:pPr>
        <w:rPr>
          <w:lang w:val="en-GB"/>
        </w:rPr>
      </w:pPr>
      <w:r>
        <w:rPr>
          <w:lang w:val="en-GB"/>
        </w:rPr>
        <w:t>(</w:t>
      </w:r>
      <w:r w:rsidRPr="00803B79">
        <w:rPr>
          <w:i/>
          <w:lang w:val="en-GB"/>
        </w:rPr>
        <w:t xml:space="preserve">This section is a </w:t>
      </w:r>
      <w:r w:rsidR="00787B54" w:rsidRPr="00803B79">
        <w:rPr>
          <w:i/>
          <w:lang w:val="en-GB"/>
        </w:rPr>
        <w:t xml:space="preserve">complete </w:t>
      </w:r>
      <w:r w:rsidRPr="00803B79">
        <w:rPr>
          <w:i/>
          <w:lang w:val="en-GB"/>
        </w:rPr>
        <w:t>resubmission.</w:t>
      </w:r>
      <w:r>
        <w:rPr>
          <w:lang w:val="en-GB"/>
        </w:rPr>
        <w:t>)</w:t>
      </w:r>
    </w:p>
    <w:p w14:paraId="55C1DC90" w14:textId="7AE3FBE5" w:rsidR="005A54DF" w:rsidRPr="00C85752" w:rsidRDefault="005A54DF" w:rsidP="005A54DF">
      <w:r>
        <w:rPr>
          <w:lang w:val="en-GB"/>
        </w:rPr>
        <w:t>In our view, this should be in general deprioritized but we keep it for the sake of discussion in case mixed numerology still needs to be discussed for SUL.</w:t>
      </w:r>
    </w:p>
    <w:p w14:paraId="0937695E" w14:textId="77777777" w:rsidR="005A54DF" w:rsidRDefault="005A54DF" w:rsidP="005A54DF">
      <w:pPr>
        <w:pStyle w:val="Heading2"/>
      </w:pPr>
      <w:r>
        <w:t>Scheduling</w:t>
      </w:r>
    </w:p>
    <w:p w14:paraId="2DD1E197" w14:textId="77777777" w:rsidR="005A54DF" w:rsidRDefault="005A54DF" w:rsidP="005A54DF">
      <w:pPr>
        <w:rPr>
          <w:lang w:val="en-GB"/>
        </w:rPr>
      </w:pPr>
      <w:r>
        <w:rPr>
          <w:lang w:val="en-GB"/>
        </w:rPr>
        <w:t>Cross carrier scheduling with mixed numerology was already agreed for NR. Figure 1 shows two cases for cross carrier DL scheduling with mixed numerology. One case is a larger SCS scheduling a smaller SCS and the other case is opposite. Current HARQ framework with slot (K0) and symbol granularity (N0) for DL data scheduling, further clarification/agreement is necessary to clearly define the distance between the end of PDCCH and the start of data scheduling. For case 1, there can be ambiguities on:</w:t>
      </w:r>
    </w:p>
    <w:p w14:paraId="67C8184C" w14:textId="77777777" w:rsidR="005A54DF" w:rsidRDefault="005A54DF" w:rsidP="005A54DF">
      <w:pPr>
        <w:pStyle w:val="ListParagraph"/>
        <w:numPr>
          <w:ilvl w:val="0"/>
          <w:numId w:val="29"/>
        </w:numPr>
      </w:pPr>
      <w:r>
        <w:t>Do we first allow PDCCH on slot 2n+1 allows scheduling in slot m?</w:t>
      </w:r>
    </w:p>
    <w:p w14:paraId="02590F87" w14:textId="77777777" w:rsidR="005A54DF" w:rsidRDefault="005A54DF" w:rsidP="005A54DF">
      <w:pPr>
        <w:pStyle w:val="ListParagraph"/>
        <w:numPr>
          <w:ilvl w:val="1"/>
          <w:numId w:val="29"/>
        </w:numPr>
      </w:pPr>
      <w:r>
        <w:t>To restrict UE complexity, it is proposed that cross carrier scheduling is allowed toward equal or later slot only (defined by the beginning of the slot). In other words, slot 2n+1 cannot schedule the data in slot m. Otherwise, we will introduce additional complexity compared to the same numerology scheduling (i.e., similar to allowing PDCCH anywhere in slot for slot-based scheduling).</w:t>
      </w:r>
    </w:p>
    <w:p w14:paraId="2DB56172" w14:textId="77777777" w:rsidR="005A54DF" w:rsidRDefault="005A54DF" w:rsidP="005A54DF">
      <w:pPr>
        <w:pStyle w:val="ListParagraph"/>
        <w:numPr>
          <w:ilvl w:val="0"/>
          <w:numId w:val="29"/>
        </w:numPr>
      </w:pPr>
      <w:r w:rsidRPr="00460DF0">
        <w:t>How to define K0 from slot 2n and 2n+1 respectively</w:t>
      </w:r>
    </w:p>
    <w:p w14:paraId="22681D1F" w14:textId="77777777" w:rsidR="005A54DF" w:rsidRDefault="005A54DF" w:rsidP="005A54DF">
      <w:pPr>
        <w:pStyle w:val="ListParagraph"/>
        <w:numPr>
          <w:ilvl w:val="1"/>
          <w:numId w:val="29"/>
        </w:numPr>
      </w:pPr>
      <w:r>
        <w:t>It was agreed that the distance between the end of PDCCH and the start of PDSCH is based on the numerology of data transmission. Slot m is considered as K0=0 for both slot 2n and slot 2n+1. Therefore, when a larger SCS schedules a smaller SCS, it is proposed that the overlapping slot is considered as K0=0.</w:t>
      </w:r>
    </w:p>
    <w:p w14:paraId="2C9A86B2" w14:textId="27B43C01" w:rsidR="006A76A6" w:rsidRDefault="006A76A6" w:rsidP="006A76A6">
      <w:pPr>
        <w:pStyle w:val="Caption"/>
      </w:pPr>
      <w:bookmarkStart w:id="207" w:name="_Toc498708257"/>
      <w:bookmarkStart w:id="208" w:name="_Toc498708423"/>
      <w:bookmarkStart w:id="209" w:name="_Toc498714724"/>
      <w:bookmarkStart w:id="210" w:name="_Toc498714741"/>
      <w:bookmarkStart w:id="211" w:name="_Toc498716910"/>
      <w:bookmarkStart w:id="212" w:name="_Toc498716975"/>
      <w:bookmarkStart w:id="213" w:name="_Toc498720478"/>
      <w:bookmarkStart w:id="214" w:name="_Toc498720514"/>
      <w:bookmarkStart w:id="215" w:name="_Toc494713330"/>
      <w:bookmarkStart w:id="216" w:name="_Toc494713418"/>
      <w:bookmarkStart w:id="217" w:name="_Toc494734985"/>
      <w:bookmarkStart w:id="218" w:name="_Toc494735051"/>
      <w:bookmarkStart w:id="219" w:name="_Toc494735628"/>
      <w:bookmarkStart w:id="220" w:name="_Toc494745992"/>
      <w:bookmarkStart w:id="221" w:name="_Toc494746309"/>
      <w:bookmarkStart w:id="222" w:name="_Toc498464659"/>
      <w:bookmarkStart w:id="223" w:name="_Toc498464677"/>
      <w:bookmarkStart w:id="224" w:name="_Toc498679760"/>
      <w:bookmarkStart w:id="225" w:name="_Toc498680120"/>
      <w:bookmarkStart w:id="226" w:name="_Toc498680600"/>
      <w:bookmarkStart w:id="227" w:name="_Toc498680632"/>
      <w:bookmarkStart w:id="228" w:name="_Toc498680826"/>
      <w:bookmarkStart w:id="229" w:name="_Toc498681356"/>
      <w:r>
        <w:lastRenderedPageBreak/>
        <w:t xml:space="preserve">Proposal </w:t>
      </w:r>
      <w:fldSimple w:instr=" SEQ Proposal \* ARABIC ">
        <w:r w:rsidR="00887472">
          <w:rPr>
            <w:noProof/>
          </w:rPr>
          <w:t>10</w:t>
        </w:r>
      </w:fldSimple>
      <w:r>
        <w:t>:</w:t>
      </w:r>
      <w:r w:rsidRPr="006A76A6">
        <w:t xml:space="preserve"> </w:t>
      </w:r>
      <w:r w:rsidRPr="0053268B">
        <w:t>Cross carrier slot-based scheduling is allowed toward equal or later slot only (defined by the beginning of the slot).</w:t>
      </w:r>
      <w:bookmarkEnd w:id="207"/>
      <w:bookmarkEnd w:id="208"/>
      <w:bookmarkEnd w:id="209"/>
      <w:bookmarkEnd w:id="210"/>
      <w:bookmarkEnd w:id="211"/>
      <w:bookmarkEnd w:id="212"/>
      <w:bookmarkEnd w:id="213"/>
      <w:bookmarkEnd w:id="214"/>
    </w:p>
    <w:p w14:paraId="0BAD334C" w14:textId="5B18D588" w:rsidR="005A54DF" w:rsidRPr="0053268B" w:rsidRDefault="005A54DF" w:rsidP="0053268B">
      <w:pPr>
        <w:pStyle w:val="Caption"/>
      </w:pPr>
      <w:bookmarkStart w:id="230" w:name="_Toc494713331"/>
      <w:bookmarkStart w:id="231" w:name="_Toc494713419"/>
      <w:bookmarkStart w:id="232" w:name="_Toc494734986"/>
      <w:bookmarkStart w:id="233" w:name="_Toc494735052"/>
      <w:bookmarkStart w:id="234" w:name="_Toc494735629"/>
      <w:bookmarkStart w:id="235" w:name="_Toc494745993"/>
      <w:bookmarkStart w:id="236" w:name="_Toc494746310"/>
      <w:bookmarkStart w:id="237" w:name="_Toc498464660"/>
      <w:bookmarkStart w:id="238" w:name="_Toc498464678"/>
      <w:bookmarkStart w:id="239" w:name="_Toc498679761"/>
      <w:bookmarkStart w:id="240" w:name="_Toc498680121"/>
      <w:bookmarkStart w:id="241" w:name="_Toc498680601"/>
      <w:bookmarkStart w:id="242" w:name="_Toc498680633"/>
      <w:bookmarkStart w:id="243" w:name="_Toc498680827"/>
      <w:bookmarkStart w:id="244" w:name="_Toc498681357"/>
      <w:bookmarkStart w:id="245" w:name="_Toc498708258"/>
      <w:bookmarkStart w:id="246" w:name="_Toc498708424"/>
      <w:bookmarkStart w:id="247" w:name="_Toc498714725"/>
      <w:bookmarkStart w:id="248" w:name="_Toc498714742"/>
      <w:bookmarkStart w:id="249" w:name="_Toc498716911"/>
      <w:bookmarkStart w:id="250" w:name="_Toc498716976"/>
      <w:bookmarkStart w:id="251" w:name="_Toc498720479"/>
      <w:bookmarkStart w:id="252" w:name="_Toc498720515"/>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r w:rsidRPr="0053268B">
        <w:t xml:space="preserve">Proposal </w:t>
      </w:r>
      <w:fldSimple w:instr=" SEQ Proposal \* ARABIC ">
        <w:r w:rsidR="00887472">
          <w:rPr>
            <w:noProof/>
          </w:rPr>
          <w:t>11</w:t>
        </w:r>
      </w:fldSimple>
      <w:r w:rsidRPr="0053268B">
        <w:t>: When a larger SCS schedules a smaller SCS for DL data, the overlapping slot is considered as K0=0.</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0E959459" w14:textId="157F4B2F" w:rsidR="005A54DF" w:rsidRDefault="005A54DF" w:rsidP="005A54DF">
      <w:pPr>
        <w:rPr>
          <w:lang w:val="en-GB"/>
        </w:rPr>
      </w:pPr>
      <w:r>
        <w:rPr>
          <w:lang w:val="en-GB"/>
        </w:rPr>
        <w:t>For case 2, K0 definition also needs clarification. For example, should we call slot 2n+1 as K0=0 or 1? If we try to be based on the numerology of the data transmission, K0=1 may be more adequate. Otherwise, we need to introduce N0 larger than 14. When a smaller SCS schedules a larger SCS, it is proposed that K0=0 is defined for the slot whose beginning slot boundary is aligned with the beginning slot boundary with PDCCH.</w:t>
      </w:r>
    </w:p>
    <w:p w14:paraId="4F7410F5" w14:textId="3C53AAF9" w:rsidR="006A76A6" w:rsidRDefault="006A76A6" w:rsidP="006A76A6">
      <w:pPr>
        <w:pStyle w:val="Caption"/>
        <w:rPr>
          <w:lang w:val="en-GB"/>
        </w:rPr>
      </w:pPr>
      <w:bookmarkStart w:id="253" w:name="_Toc498708425"/>
      <w:bookmarkStart w:id="254" w:name="_Toc498714726"/>
      <w:bookmarkStart w:id="255" w:name="_Toc498714743"/>
      <w:bookmarkStart w:id="256" w:name="_Toc498716912"/>
      <w:bookmarkStart w:id="257" w:name="_Toc498716977"/>
      <w:bookmarkStart w:id="258" w:name="_Toc498720480"/>
      <w:bookmarkStart w:id="259" w:name="_Toc498720516"/>
      <w:r>
        <w:t xml:space="preserve">Proposal </w:t>
      </w:r>
      <w:fldSimple w:instr=" SEQ Proposal \* ARABIC ">
        <w:r w:rsidR="00887472">
          <w:rPr>
            <w:noProof/>
          </w:rPr>
          <w:t>12</w:t>
        </w:r>
      </w:fldSimple>
      <w:r>
        <w:t xml:space="preserve">: </w:t>
      </w:r>
      <w:r w:rsidRPr="0053268B">
        <w:t>When a smaller SCS schedules a larger SCS for DL data, K0=0 is defined for the slot whose beginning slot boundary is aligned with that of the slot containing PDCCH with DL grant.</w:t>
      </w:r>
      <w:bookmarkEnd w:id="253"/>
      <w:bookmarkEnd w:id="254"/>
      <w:bookmarkEnd w:id="255"/>
      <w:bookmarkEnd w:id="256"/>
      <w:bookmarkEnd w:id="257"/>
      <w:bookmarkEnd w:id="258"/>
      <w:bookmarkEnd w:id="259"/>
    </w:p>
    <w:p w14:paraId="1FAC245D" w14:textId="536E92EE" w:rsidR="005A54DF" w:rsidRDefault="005A54DF" w:rsidP="005A54DF">
      <w:pPr>
        <w:rPr>
          <w:lang w:val="en-GB"/>
        </w:rPr>
      </w:pPr>
      <w:r>
        <w:rPr>
          <w:lang w:val="en-GB"/>
        </w:rPr>
        <w:t>Another issue with cross carrier scheduling is whether to have a joint grant or separate grant. For case 1, cross carrier scheduling is not different from the cross carrier scheduling with same numerology in terms of necessary grants. For case 2, given multiple slots overlapping with the slot with PDCCH, there can be a separate DCI per grant or a joint DCI for multiple grants. For scalable design, a separate DCI per grant is beneficial. On the other hand, a joint grant will be more spectrally efficient in terms of resource utilization. Some restrictions may be necessary in order not to increase the DCI proportional to the number of grants.</w:t>
      </w:r>
    </w:p>
    <w:p w14:paraId="5407A0CE" w14:textId="3E69F810" w:rsidR="006A76A6" w:rsidRDefault="006A76A6" w:rsidP="006A76A6">
      <w:pPr>
        <w:pStyle w:val="Caption"/>
        <w:rPr>
          <w:lang w:val="en-GB"/>
        </w:rPr>
      </w:pPr>
      <w:bookmarkStart w:id="260" w:name="_Toc498708426"/>
      <w:bookmarkStart w:id="261" w:name="_Toc498714727"/>
      <w:bookmarkStart w:id="262" w:name="_Toc498714744"/>
      <w:bookmarkStart w:id="263" w:name="_Toc498716913"/>
      <w:bookmarkStart w:id="264" w:name="_Toc498716978"/>
      <w:bookmarkStart w:id="265" w:name="_Toc498720481"/>
      <w:bookmarkStart w:id="266" w:name="_Toc498720517"/>
      <w:r>
        <w:t xml:space="preserve">Proposal </w:t>
      </w:r>
      <w:fldSimple w:instr=" SEQ Proposal \* ARABIC ">
        <w:r w:rsidR="00887472">
          <w:rPr>
            <w:noProof/>
          </w:rPr>
          <w:t>13</w:t>
        </w:r>
      </w:fldSimple>
      <w:r>
        <w:t xml:space="preserve">: </w:t>
      </w:r>
      <w:r w:rsidRPr="0053268B">
        <w:t>A separate DCI per grant is supported for cross carrier scheduling with mixed numerology. A joint grant is also supported for NR.</w:t>
      </w:r>
      <w:bookmarkEnd w:id="260"/>
      <w:bookmarkEnd w:id="261"/>
      <w:bookmarkEnd w:id="262"/>
      <w:bookmarkEnd w:id="263"/>
      <w:bookmarkEnd w:id="264"/>
      <w:bookmarkEnd w:id="265"/>
      <w:bookmarkEnd w:id="266"/>
    </w:p>
    <w:p w14:paraId="3B27DAB1" w14:textId="02563CB2" w:rsidR="005A54DF" w:rsidRDefault="005A54DF" w:rsidP="005A54DF">
      <w:pPr>
        <w:rPr>
          <w:lang w:val="en-GB"/>
        </w:rPr>
      </w:pPr>
      <w:r>
        <w:rPr>
          <w:lang w:val="en-GB"/>
        </w:rPr>
        <w:t>Although Figure 1 shows DL scheduling, same case exists for UL data scheduling. Proposal 1 through 3 can be applicable for both DL and UL scheduling. Therefore, the following additional proposals can be made.</w:t>
      </w:r>
    </w:p>
    <w:p w14:paraId="41632D7D" w14:textId="680780EA" w:rsidR="006A76A6" w:rsidRDefault="006A76A6" w:rsidP="006A76A6">
      <w:pPr>
        <w:pStyle w:val="Caption"/>
      </w:pPr>
      <w:bookmarkStart w:id="267" w:name="_Toc498708427"/>
      <w:bookmarkStart w:id="268" w:name="_Toc498714728"/>
      <w:bookmarkStart w:id="269" w:name="_Toc498714745"/>
      <w:bookmarkStart w:id="270" w:name="_Toc498716914"/>
      <w:bookmarkStart w:id="271" w:name="_Toc498716979"/>
      <w:bookmarkStart w:id="272" w:name="_Toc498720482"/>
      <w:bookmarkStart w:id="273" w:name="_Toc498720518"/>
      <w:r>
        <w:t xml:space="preserve">Proposal </w:t>
      </w:r>
      <w:fldSimple w:instr=" SEQ Proposal \* ARABIC ">
        <w:r w:rsidR="00887472">
          <w:rPr>
            <w:noProof/>
          </w:rPr>
          <w:t>14</w:t>
        </w:r>
      </w:fldSimple>
      <w:r>
        <w:t xml:space="preserve">: </w:t>
      </w:r>
      <w:r w:rsidRPr="0053268B">
        <w:t>When a larger SCS schedules a smaller SCS for UL data, the overlapping slot is considered as K2=0.</w:t>
      </w:r>
      <w:bookmarkEnd w:id="267"/>
      <w:bookmarkEnd w:id="268"/>
      <w:bookmarkEnd w:id="269"/>
      <w:bookmarkEnd w:id="270"/>
      <w:bookmarkEnd w:id="271"/>
      <w:bookmarkEnd w:id="272"/>
      <w:bookmarkEnd w:id="273"/>
    </w:p>
    <w:p w14:paraId="196B9377" w14:textId="6B31EC6A" w:rsidR="006A76A6" w:rsidRPr="006A76A6" w:rsidRDefault="006A76A6" w:rsidP="006A76A6">
      <w:pPr>
        <w:pStyle w:val="Caption"/>
      </w:pPr>
      <w:bookmarkStart w:id="274" w:name="_Toc498708428"/>
      <w:bookmarkStart w:id="275" w:name="_Toc498714729"/>
      <w:bookmarkStart w:id="276" w:name="_Toc498714746"/>
      <w:bookmarkStart w:id="277" w:name="_Toc498716915"/>
      <w:bookmarkStart w:id="278" w:name="_Toc498716980"/>
      <w:bookmarkStart w:id="279" w:name="_Toc498720483"/>
      <w:bookmarkStart w:id="280" w:name="_Toc498720519"/>
      <w:r>
        <w:t xml:space="preserve">Proposal </w:t>
      </w:r>
      <w:fldSimple w:instr=" SEQ Proposal \* ARABIC ">
        <w:r w:rsidR="00887472">
          <w:rPr>
            <w:noProof/>
          </w:rPr>
          <w:t>15</w:t>
        </w:r>
      </w:fldSimple>
      <w:r>
        <w:t xml:space="preserve">: </w:t>
      </w:r>
      <w:r w:rsidRPr="0053268B">
        <w:t>When a smaller SCS schedules a larger SCS for UL data, K2=0 is defined for the slot whose beginning slot boundary is aligned with that of the slot containing PDCCH with UL grant.</w:t>
      </w:r>
      <w:bookmarkEnd w:id="274"/>
      <w:bookmarkEnd w:id="275"/>
      <w:bookmarkEnd w:id="276"/>
      <w:bookmarkEnd w:id="277"/>
      <w:bookmarkEnd w:id="278"/>
      <w:bookmarkEnd w:id="279"/>
      <w:bookmarkEnd w:id="280"/>
    </w:p>
    <w:p w14:paraId="51C5C450" w14:textId="5C6D43C8" w:rsidR="005A54DF" w:rsidRPr="0053268B" w:rsidRDefault="005A54DF" w:rsidP="0053268B">
      <w:pPr>
        <w:pStyle w:val="Caption"/>
      </w:pPr>
    </w:p>
    <w:p w14:paraId="2B091F36" w14:textId="77777777" w:rsidR="005A54DF" w:rsidRDefault="005A54DF" w:rsidP="005A54DF">
      <w:pPr>
        <w:jc w:val="center"/>
        <w:rPr>
          <w:lang w:val="en-GB"/>
        </w:rPr>
      </w:pPr>
      <w:r w:rsidRPr="00177447">
        <w:object w:dxaOrig="15474" w:dyaOrig="5876" w14:anchorId="3BB2BFE7">
          <v:shape id="_x0000_i1034" type="#_x0000_t75" style="width:349.15pt;height:133.15pt" o:ole="">
            <v:imagedata r:id="rId30" o:title=""/>
          </v:shape>
          <o:OLEObject Type="Embed" ProgID="Visio.Drawing.11" ShapeID="_x0000_i1034" DrawAspect="Content" ObjectID="_1572465394" r:id="rId31"/>
        </w:object>
      </w:r>
    </w:p>
    <w:p w14:paraId="17FF258C" w14:textId="77777777" w:rsidR="005A54DF" w:rsidRPr="00177447" w:rsidRDefault="005A54DF" w:rsidP="005A54DF">
      <w:pPr>
        <w:pStyle w:val="ListParagraph"/>
        <w:numPr>
          <w:ilvl w:val="0"/>
          <w:numId w:val="28"/>
        </w:numPr>
      </w:pPr>
      <w:r>
        <w:t>Case 1: Larger SCS scheduling smaller SCS</w:t>
      </w:r>
    </w:p>
    <w:p w14:paraId="325037EA" w14:textId="77777777" w:rsidR="005A54DF" w:rsidRDefault="005A54DF" w:rsidP="005A54DF">
      <w:pPr>
        <w:keepNext/>
        <w:jc w:val="center"/>
        <w:rPr>
          <w:lang w:val="en-GB"/>
        </w:rPr>
      </w:pPr>
      <w:r w:rsidRPr="00177447">
        <w:object w:dxaOrig="15474" w:dyaOrig="5876" w14:anchorId="5378C6FA">
          <v:shape id="_x0000_i1035" type="#_x0000_t75" style="width:349.15pt;height:133.15pt" o:ole="">
            <v:imagedata r:id="rId32" o:title=""/>
          </v:shape>
          <o:OLEObject Type="Embed" ProgID="Visio.Drawing.11" ShapeID="_x0000_i1035" DrawAspect="Content" ObjectID="_1572465395" r:id="rId33"/>
        </w:object>
      </w:r>
    </w:p>
    <w:p w14:paraId="4A7DCD7F" w14:textId="77777777" w:rsidR="005A54DF" w:rsidRDefault="005A54DF" w:rsidP="005A54DF">
      <w:pPr>
        <w:pStyle w:val="ListParagraph"/>
        <w:numPr>
          <w:ilvl w:val="0"/>
          <w:numId w:val="28"/>
        </w:numPr>
      </w:pPr>
      <w:r>
        <w:t>Case 2: Smaller SCS scheduling larger SCS</w:t>
      </w:r>
    </w:p>
    <w:p w14:paraId="57415189" w14:textId="0EAD0F4B" w:rsidR="005A54DF" w:rsidRDefault="005A54DF" w:rsidP="005A54DF">
      <w:pPr>
        <w:pStyle w:val="Caption"/>
        <w:jc w:val="center"/>
      </w:pPr>
      <w:r>
        <w:t xml:space="preserve">Figure </w:t>
      </w:r>
      <w:fldSimple w:instr=" SEQ Figure \* ARABIC ">
        <w:r w:rsidR="00887472">
          <w:rPr>
            <w:noProof/>
          </w:rPr>
          <w:t>10</w:t>
        </w:r>
      </w:fldSimple>
      <w:r>
        <w:t>: Cross carrier DL scheduling with mixed numerology</w:t>
      </w:r>
    </w:p>
    <w:p w14:paraId="7FE1CAC9" w14:textId="77777777" w:rsidR="005A54DF" w:rsidRDefault="005A54DF" w:rsidP="005A54DF">
      <w:pPr>
        <w:rPr>
          <w:lang w:val="en-GB"/>
        </w:rPr>
      </w:pPr>
    </w:p>
    <w:p w14:paraId="142D6EF1" w14:textId="77777777" w:rsidR="005A54DF" w:rsidRDefault="005A54DF" w:rsidP="005A54DF">
      <w:pPr>
        <w:pStyle w:val="Heading2"/>
      </w:pPr>
      <w:r>
        <w:lastRenderedPageBreak/>
        <w:t>HARQ feedback handling</w:t>
      </w:r>
    </w:p>
    <w:p w14:paraId="2E05D903" w14:textId="77777777" w:rsidR="005A54DF" w:rsidRDefault="005A54DF" w:rsidP="005A54DF">
      <w:pPr>
        <w:rPr>
          <w:lang w:val="en-GB"/>
        </w:rPr>
      </w:pPr>
      <w:r>
        <w:rPr>
          <w:lang w:val="en-GB"/>
        </w:rPr>
        <w:t xml:space="preserve">Cross carrier acknowledgement with mixed numerology was also agreed for NR. Figure 2 shows two cases for cross carrier acknowledgement with mixed numerology for DL scheduling. Case 1 is when A/N is transmitted on a carrier with smaller SCS. Case 2 is the other case. </w:t>
      </w:r>
    </w:p>
    <w:p w14:paraId="31630A2E" w14:textId="77777777" w:rsidR="005A54DF" w:rsidRDefault="005A54DF" w:rsidP="005A54DF">
      <w:pPr>
        <w:rPr>
          <w:lang w:val="en-GB"/>
        </w:rPr>
      </w:pPr>
      <w:r>
        <w:rPr>
          <w:lang w:val="en-GB"/>
        </w:rPr>
        <w:t>For case 1, similar to data scheduling in subsection 2.1, the following proposals are made.</w:t>
      </w:r>
    </w:p>
    <w:p w14:paraId="173F018B" w14:textId="240D8E38" w:rsidR="006A76A6" w:rsidRDefault="006A76A6" w:rsidP="006A76A6">
      <w:pPr>
        <w:pStyle w:val="Caption"/>
      </w:pPr>
      <w:bookmarkStart w:id="281" w:name="_Toc498708429"/>
      <w:bookmarkStart w:id="282" w:name="_Toc498714730"/>
      <w:bookmarkStart w:id="283" w:name="_Toc498714747"/>
      <w:bookmarkStart w:id="284" w:name="_Toc498716916"/>
      <w:bookmarkStart w:id="285" w:name="_Toc498716981"/>
      <w:bookmarkStart w:id="286" w:name="_Toc498720484"/>
      <w:bookmarkStart w:id="287" w:name="_Toc498720520"/>
      <w:bookmarkStart w:id="288" w:name="_Toc494713336"/>
      <w:bookmarkStart w:id="289" w:name="_Toc494713424"/>
      <w:bookmarkStart w:id="290" w:name="_Toc494734991"/>
      <w:bookmarkStart w:id="291" w:name="_Toc494735057"/>
      <w:bookmarkStart w:id="292" w:name="_Toc494735634"/>
      <w:bookmarkStart w:id="293" w:name="_Toc494745998"/>
      <w:bookmarkStart w:id="294" w:name="_Toc494746315"/>
      <w:bookmarkStart w:id="295" w:name="_Toc498464665"/>
      <w:bookmarkStart w:id="296" w:name="_Toc498464683"/>
      <w:bookmarkStart w:id="297" w:name="_Toc498679766"/>
      <w:bookmarkStart w:id="298" w:name="_Toc498680126"/>
      <w:bookmarkStart w:id="299" w:name="_Toc498680606"/>
      <w:bookmarkStart w:id="300" w:name="_Toc498680638"/>
      <w:bookmarkStart w:id="301" w:name="_Toc498680832"/>
      <w:bookmarkStart w:id="302" w:name="_Toc498681362"/>
      <w:r>
        <w:t xml:space="preserve">Proposal </w:t>
      </w:r>
      <w:fldSimple w:instr=" SEQ Proposal \* ARABIC ">
        <w:r w:rsidR="00887472">
          <w:rPr>
            <w:noProof/>
          </w:rPr>
          <w:t>16</w:t>
        </w:r>
      </w:fldSimple>
      <w:r>
        <w:t xml:space="preserve">: </w:t>
      </w:r>
      <w:r w:rsidRPr="0053268B">
        <w:t>When A/N is transmitted on a carrier with a smaller SCS, the overlapping slot is considered as K1=0.</w:t>
      </w:r>
      <w:bookmarkEnd w:id="281"/>
      <w:bookmarkEnd w:id="282"/>
      <w:bookmarkEnd w:id="283"/>
      <w:bookmarkEnd w:id="284"/>
      <w:bookmarkEnd w:id="285"/>
      <w:bookmarkEnd w:id="286"/>
      <w:bookmarkEnd w:id="287"/>
    </w:p>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14:paraId="3617C767" w14:textId="77777777" w:rsidR="005A54DF" w:rsidRDefault="005A54DF" w:rsidP="005A54DF">
      <w:pPr>
        <w:rPr>
          <w:lang w:val="en-GB"/>
        </w:rPr>
      </w:pPr>
      <w:r>
        <w:rPr>
          <w:lang w:val="en-GB"/>
        </w:rPr>
        <w:t>For case 2, K1 definition needs some clarification. The following is proposed.</w:t>
      </w:r>
    </w:p>
    <w:p w14:paraId="72C8DAA1" w14:textId="47D14136" w:rsidR="006A76A6" w:rsidRDefault="006A76A6" w:rsidP="006A76A6">
      <w:pPr>
        <w:pStyle w:val="Caption"/>
      </w:pPr>
      <w:bookmarkStart w:id="303" w:name="_Toc498708430"/>
      <w:bookmarkStart w:id="304" w:name="_Toc498714731"/>
      <w:bookmarkStart w:id="305" w:name="_Toc498714748"/>
      <w:bookmarkStart w:id="306" w:name="_Toc498716917"/>
      <w:bookmarkStart w:id="307" w:name="_Toc498716982"/>
      <w:bookmarkStart w:id="308" w:name="_Toc498720485"/>
      <w:bookmarkStart w:id="309" w:name="_Toc498720521"/>
      <w:bookmarkStart w:id="310" w:name="_Toc494713337"/>
      <w:bookmarkStart w:id="311" w:name="_Toc494713425"/>
      <w:bookmarkStart w:id="312" w:name="_Toc494734992"/>
      <w:bookmarkStart w:id="313" w:name="_Toc494735058"/>
      <w:bookmarkStart w:id="314" w:name="_Toc494735635"/>
      <w:bookmarkStart w:id="315" w:name="_Toc494745999"/>
      <w:bookmarkStart w:id="316" w:name="_Toc494746316"/>
      <w:bookmarkStart w:id="317" w:name="_Toc498464666"/>
      <w:bookmarkStart w:id="318" w:name="_Toc498464684"/>
      <w:bookmarkStart w:id="319" w:name="_Toc498679767"/>
      <w:bookmarkStart w:id="320" w:name="_Toc498680127"/>
      <w:bookmarkStart w:id="321" w:name="_Toc498680607"/>
      <w:bookmarkStart w:id="322" w:name="_Toc498680639"/>
      <w:bookmarkStart w:id="323" w:name="_Toc498680833"/>
      <w:bookmarkStart w:id="324" w:name="_Toc498681363"/>
      <w:r>
        <w:t xml:space="preserve">Proposal </w:t>
      </w:r>
      <w:fldSimple w:instr=" SEQ Proposal \* ARABIC ">
        <w:r w:rsidR="00887472">
          <w:rPr>
            <w:noProof/>
          </w:rPr>
          <w:t>17</w:t>
        </w:r>
      </w:fldSimple>
      <w:r>
        <w:t xml:space="preserve">: </w:t>
      </w:r>
      <w:r w:rsidRPr="0053268B">
        <w:t>When A/N is transmitted on a carrier with a larger SCS, K1=0 is defined for the slot whose ending slot boundary is aligned with that of the slot containing PDSCH.</w:t>
      </w:r>
      <w:bookmarkEnd w:id="303"/>
      <w:bookmarkEnd w:id="304"/>
      <w:bookmarkEnd w:id="305"/>
      <w:bookmarkEnd w:id="306"/>
      <w:bookmarkEnd w:id="307"/>
      <w:bookmarkEnd w:id="308"/>
      <w:bookmarkEnd w:id="309"/>
    </w:p>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14:paraId="247F1408" w14:textId="77777777" w:rsidR="005A54DF" w:rsidRDefault="005A54DF" w:rsidP="005A54DF">
      <w:pPr>
        <w:rPr>
          <w:lang w:val="en-GB"/>
        </w:rPr>
      </w:pPr>
      <w:r>
        <w:rPr>
          <w:lang w:val="en-GB"/>
        </w:rPr>
        <w:t>In other words, slot 2n+1 becomes K1=0. Slot 2n+2 is K1=1, 2n+3 is K1=2 and so on.</w:t>
      </w:r>
    </w:p>
    <w:p w14:paraId="3A304D00" w14:textId="77777777" w:rsidR="005A54DF" w:rsidRDefault="005A54DF" w:rsidP="005A54DF">
      <w:pPr>
        <w:rPr>
          <w:lang w:val="en-GB"/>
        </w:rPr>
      </w:pPr>
    </w:p>
    <w:p w14:paraId="6A06C786" w14:textId="77777777" w:rsidR="005A54DF" w:rsidRDefault="005A54DF" w:rsidP="005A54DF">
      <w:pPr>
        <w:keepNext/>
        <w:jc w:val="center"/>
        <w:rPr>
          <w:lang w:val="en-GB"/>
        </w:rPr>
      </w:pPr>
      <w:r w:rsidRPr="000372BF">
        <w:object w:dxaOrig="9608" w:dyaOrig="1682" w14:anchorId="5B76384A">
          <v:shape id="_x0000_i1036" type="#_x0000_t75" style="width:480.9pt;height:84.25pt" o:ole="">
            <v:imagedata r:id="rId34" o:title=""/>
          </v:shape>
          <o:OLEObject Type="Embed" ProgID="Visio.Drawing.11" ShapeID="_x0000_i1036" DrawAspect="Content" ObjectID="_1572465396" r:id="rId35"/>
        </w:object>
      </w:r>
    </w:p>
    <w:p w14:paraId="2121474F" w14:textId="77777777" w:rsidR="005A54DF" w:rsidRDefault="005A54DF" w:rsidP="005A54DF">
      <w:pPr>
        <w:keepNext/>
        <w:jc w:val="center"/>
      </w:pPr>
      <w:r>
        <w:t>(a) Case 1: A/N transmitted on a carrier with smaller SCS</w:t>
      </w:r>
    </w:p>
    <w:p w14:paraId="14B95D32" w14:textId="77777777" w:rsidR="005A54DF" w:rsidRDefault="005A54DF" w:rsidP="005A54DF">
      <w:pPr>
        <w:jc w:val="center"/>
        <w:rPr>
          <w:lang w:val="en-GB"/>
        </w:rPr>
      </w:pPr>
      <w:r w:rsidRPr="007D73C2">
        <w:object w:dxaOrig="16502" w:dyaOrig="4341" w14:anchorId="615A560F">
          <v:shape id="_x0000_i1037" type="#_x0000_t75" style="width:481.6pt;height:127.7pt" o:ole="">
            <v:imagedata r:id="rId36" o:title=""/>
          </v:shape>
          <o:OLEObject Type="Embed" ProgID="Visio.Drawing.11" ShapeID="_x0000_i1037" DrawAspect="Content" ObjectID="_1572465397" r:id="rId37"/>
        </w:object>
      </w:r>
    </w:p>
    <w:p w14:paraId="2639032F" w14:textId="77777777" w:rsidR="005A54DF" w:rsidRDefault="005A54DF" w:rsidP="005A54DF">
      <w:pPr>
        <w:jc w:val="center"/>
        <w:rPr>
          <w:lang w:val="en-GB"/>
        </w:rPr>
      </w:pPr>
      <w:r>
        <w:rPr>
          <w:lang w:val="en-GB"/>
        </w:rPr>
        <w:t>(b) Case 2: A/N transmitted on a carrier with larger SCS</w:t>
      </w:r>
    </w:p>
    <w:p w14:paraId="743BE881" w14:textId="799AEC04" w:rsidR="005A54DF" w:rsidRDefault="005A54DF" w:rsidP="005A54DF">
      <w:pPr>
        <w:pStyle w:val="Caption"/>
        <w:jc w:val="center"/>
      </w:pPr>
      <w:r>
        <w:t xml:space="preserve">Figure </w:t>
      </w:r>
      <w:fldSimple w:instr=" SEQ Figure \* ARABIC ">
        <w:r w:rsidR="00887472">
          <w:rPr>
            <w:noProof/>
          </w:rPr>
          <w:t>11</w:t>
        </w:r>
      </w:fldSimple>
      <w:r>
        <w:t>: Cross carrier ACK transmission with mixed numerology</w:t>
      </w:r>
    </w:p>
    <w:p w14:paraId="3953932D" w14:textId="77777777" w:rsidR="005A54DF" w:rsidRPr="00A54974" w:rsidRDefault="005A54DF" w:rsidP="005A54DF"/>
    <w:p w14:paraId="1B2098D8" w14:textId="77777777" w:rsidR="005A54DF" w:rsidRDefault="005A54DF" w:rsidP="005A54DF">
      <w:pPr>
        <w:pStyle w:val="Heading2"/>
        <w:tabs>
          <w:tab w:val="left" w:pos="720"/>
        </w:tabs>
        <w:textAlignment w:val="auto"/>
      </w:pPr>
      <w:r>
        <w:t>Power control with mixed numerology</w:t>
      </w:r>
    </w:p>
    <w:p w14:paraId="4C9467D7" w14:textId="5206797C" w:rsidR="005A54DF" w:rsidRDefault="005A54DF" w:rsidP="005A54DF">
      <w:pPr>
        <w:spacing w:after="120"/>
      </w:pPr>
      <w:r>
        <w:t>UL CA will also be supported with NR. When UL CCs have different numerologies, UE transmit power changes in the middle of the slot with a smaller SCS due to the slot boundary with a larger SCS. This may cause the gate state switching which causes phase discontinuity. Phase discontinuity will lead to demodulation performance degradation due to the mismatch between estimated channel and the channel experienced by the data channel. Due to this reason, it is proposed to have a single PC group corresponding to a group of the same numerology per band. CCs in inter-band CA can have individual PC group, given the use of separate PA/RF chains.</w:t>
      </w:r>
    </w:p>
    <w:p w14:paraId="5D6F6E86" w14:textId="656CAC37" w:rsidR="006A76A6" w:rsidRDefault="006A76A6" w:rsidP="006A76A6">
      <w:pPr>
        <w:pStyle w:val="Caption"/>
      </w:pPr>
      <w:bookmarkStart w:id="325" w:name="_Toc498708432"/>
      <w:bookmarkStart w:id="326" w:name="_Toc498714732"/>
      <w:bookmarkStart w:id="327" w:name="_Toc498714749"/>
      <w:bookmarkStart w:id="328" w:name="_Toc498716918"/>
      <w:bookmarkStart w:id="329" w:name="_Toc498716983"/>
      <w:bookmarkStart w:id="330" w:name="_Toc498720486"/>
      <w:bookmarkStart w:id="331" w:name="_Toc498720522"/>
      <w:r>
        <w:t xml:space="preserve">Proposal </w:t>
      </w:r>
      <w:fldSimple w:instr=" SEQ Proposal \* ARABIC ">
        <w:r w:rsidR="00887472">
          <w:rPr>
            <w:noProof/>
          </w:rPr>
          <w:t>18</w:t>
        </w:r>
      </w:fldSimple>
      <w:r>
        <w:t>: NR supports a single power control group corresponding to a group of the same numerology per band.</w:t>
      </w:r>
      <w:bookmarkEnd w:id="325"/>
      <w:bookmarkEnd w:id="326"/>
      <w:bookmarkEnd w:id="327"/>
      <w:bookmarkEnd w:id="328"/>
      <w:bookmarkEnd w:id="329"/>
      <w:bookmarkEnd w:id="330"/>
      <w:bookmarkEnd w:id="331"/>
    </w:p>
    <w:p w14:paraId="16CFBAF1" w14:textId="7203D363" w:rsidR="00E4038C" w:rsidRDefault="00E4038C" w:rsidP="00C227E3">
      <w:pPr>
        <w:pStyle w:val="Heading1"/>
        <w:rPr>
          <w:lang w:eastAsia="zh-CN"/>
        </w:rPr>
      </w:pPr>
      <w:r w:rsidRPr="00C227E3">
        <w:lastRenderedPageBreak/>
        <w:t>Conclusions</w:t>
      </w:r>
    </w:p>
    <w:p w14:paraId="4A7CCD54" w14:textId="3911CCA1" w:rsidR="00AF5673" w:rsidRDefault="00A96F9C" w:rsidP="00AF5673">
      <w:pPr>
        <w:spacing w:after="120"/>
      </w:pPr>
      <w:r>
        <w:t xml:space="preserve">This contribution has presented issues in CA and BWP for NR including SCell BWP adaptation, timeline with CA activation/deactivation, dynamic HARQ-ACK feedback, and CA with mixed numerology. </w:t>
      </w:r>
      <w:r w:rsidR="007B645F">
        <w:t>The following observation and proposals have been made:</w:t>
      </w:r>
    </w:p>
    <w:p w14:paraId="1F84689D" w14:textId="77777777" w:rsidR="00331915" w:rsidRDefault="00331915" w:rsidP="00AF5673">
      <w:pPr>
        <w:spacing w:after="120"/>
      </w:pPr>
    </w:p>
    <w:p w14:paraId="0720E4E4" w14:textId="77777777" w:rsidR="003D48C2" w:rsidRDefault="009E3E19">
      <w:pPr>
        <w:pStyle w:val="TableofFigures"/>
        <w:tabs>
          <w:tab w:val="right" w:leader="dot" w:pos="9628"/>
        </w:tabs>
        <w:rPr>
          <w:rFonts w:asciiTheme="minorHAnsi" w:eastAsiaTheme="minorEastAsia" w:hAnsiTheme="minorHAnsi" w:cstheme="minorBidi"/>
          <w:noProof/>
          <w:sz w:val="22"/>
          <w:szCs w:val="22"/>
        </w:rPr>
      </w:pPr>
      <w:r w:rsidRPr="00803B79">
        <w:fldChar w:fldCharType="begin"/>
      </w:r>
      <w:r w:rsidRPr="00803B79">
        <w:instrText xml:space="preserve"> TOC \n \c "Observation" </w:instrText>
      </w:r>
      <w:r w:rsidRPr="00803B79">
        <w:fldChar w:fldCharType="separate"/>
      </w:r>
      <w:r w:rsidR="003D48C2">
        <w:rPr>
          <w:noProof/>
        </w:rPr>
        <w:t xml:space="preserve">Observation 1: </w:t>
      </w:r>
      <w:r w:rsidR="003D48C2" w:rsidRPr="003A4149">
        <w:rPr>
          <w:noProof/>
          <w:lang w:val="en-GB"/>
        </w:rPr>
        <w:t>DCI-based CA/BWP activation/deactivation command provides shorter latency than the MAC CE-based activation/deactivation (See [8]).</w:t>
      </w:r>
    </w:p>
    <w:p w14:paraId="13F9AC16"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 xml:space="preserve">Observation 2: </w:t>
      </w:r>
      <w:r w:rsidRPr="003A4149">
        <w:rPr>
          <w:noProof/>
          <w:lang w:val="en-GB"/>
        </w:rPr>
        <w:t xml:space="preserve">DAI padding can be used to enhance the robustness against missing grant towards the end. </w:t>
      </w:r>
      <w:r>
        <w:rPr>
          <w:noProof/>
        </w:rPr>
        <w:t>From gNB perspective, DAI padding can be an implementation choice. From UE perspective, ACK/NACK-padding in the PUCCH is mandated for any gap in the DAI counter, irrespective of whether the gap is detected between two consecutive PDSCH allocation or not.</w:t>
      </w:r>
    </w:p>
    <w:p w14:paraId="63572407" w14:textId="688666C1" w:rsidR="002E19AD" w:rsidRPr="00803B79" w:rsidRDefault="009E3E19" w:rsidP="0053268B">
      <w:r w:rsidRPr="00803B79">
        <w:fldChar w:fldCharType="end"/>
      </w:r>
    </w:p>
    <w:p w14:paraId="36B032AB" w14:textId="77777777" w:rsidR="003D48C2" w:rsidRDefault="00331915">
      <w:pPr>
        <w:pStyle w:val="TableofFigures"/>
        <w:tabs>
          <w:tab w:val="right" w:leader="dot" w:pos="9628"/>
        </w:tabs>
        <w:rPr>
          <w:rFonts w:asciiTheme="minorHAnsi" w:eastAsiaTheme="minorEastAsia" w:hAnsiTheme="minorHAnsi" w:cstheme="minorBidi"/>
          <w:noProof/>
          <w:sz w:val="22"/>
          <w:szCs w:val="22"/>
        </w:rPr>
      </w:pPr>
      <w:r>
        <w:fldChar w:fldCharType="begin"/>
      </w:r>
      <w:r>
        <w:instrText xml:space="preserve"> TOC \n \c "Proposal" </w:instrText>
      </w:r>
      <w:r>
        <w:fldChar w:fldCharType="separate"/>
      </w:r>
      <w:r w:rsidR="003D48C2">
        <w:rPr>
          <w:noProof/>
        </w:rPr>
        <w:t>Proposal 1: RAN1 supports the configuration of a special BWP which corresponds to a BWP that is always deactivated. It can be referred to as the “zero-BWP”.</w:t>
      </w:r>
    </w:p>
    <w:p w14:paraId="2094A8AF"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2: Zero BWP can become the active BWP on an activated SCell to gate off operations that require an activated BWP, in order to enable power saving.</w:t>
      </w:r>
    </w:p>
    <w:p w14:paraId="0217FDE5"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3: Zero BWP can be configured as the default DL BWP on a SCell. Zero BWP is not allowed to be configured as the first active BWP on a SCell.</w:t>
      </w:r>
    </w:p>
    <w:p w14:paraId="6D73F622"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4: Support scheduling DCI with “zero” assignment for active DL BWP or DL/UL BWP pair switching. For DL scheduling DCI, UE is expected to send positive HARQ-ACK for zero-size PDSCH transmission.</w:t>
      </w:r>
    </w:p>
    <w:p w14:paraId="14B65C2F"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5: When gNB sends BWP switching DCI on SCell, it may indicate activation of zero-BWP on the SCell.</w:t>
      </w:r>
    </w:p>
    <w:p w14:paraId="32FB3BC9"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6: When gNB sends BWP switching DCI (with “zero” assignment) on PCell, it may include SCell control indicator and bitmap, which selects the SCells whose active BWP will be switched to the first active BWP. If zero-BWP is the original active BWP, this effectively brings the SCell out of zero-BWP.</w:t>
      </w:r>
    </w:p>
    <w:p w14:paraId="6B315726"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 xml:space="preserve">Proposal 7: </w:t>
      </w:r>
      <w:r w:rsidRPr="00327064">
        <w:rPr>
          <w:noProof/>
          <w:lang w:val="en-GB"/>
        </w:rPr>
        <w:t>Aperiodic TRS is supported at SCell activation.</w:t>
      </w:r>
    </w:p>
    <w:p w14:paraId="5EE9316F"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 xml:space="preserve">Proposal 8: </w:t>
      </w:r>
      <w:r w:rsidRPr="00327064">
        <w:rPr>
          <w:noProof/>
          <w:lang w:val="en-GB"/>
        </w:rPr>
        <w:t>Improved CA/BWP activation/deactivation timeline should be considered for NR compared to LTE.</w:t>
      </w:r>
    </w:p>
    <w:p w14:paraId="331A4711"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9:</w:t>
      </w:r>
      <w:r w:rsidRPr="00327064">
        <w:rPr>
          <w:noProof/>
          <w:lang w:val="en-GB"/>
        </w:rPr>
        <w:t xml:space="preserve"> NR adopts multiple DAI instances, with each DAI instance corresponds to a specific ACK-NACK payload size.</w:t>
      </w:r>
    </w:p>
    <w:p w14:paraId="1225258E"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10: Cross carrier slot-based scheduling is allowed toward equal or later slot only (defined by the beginning of the slot).</w:t>
      </w:r>
    </w:p>
    <w:p w14:paraId="361E6BEA"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11: When a larger SCS schedules a smaller SCS for DL data, the overlapping slot is considered as K0=0.</w:t>
      </w:r>
    </w:p>
    <w:p w14:paraId="481EB3BE"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12: When a smaller SCS schedules a larger SCS for DL data, K0=0 is defined for the slot whose beginning slot boundary is aligned with that of the slot containing PDCCH with DL grant.</w:t>
      </w:r>
    </w:p>
    <w:p w14:paraId="5CE261A7"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13: A separate DCI per grant is supported for cross carrier scheduling with mixed numerology. A joint grant is also supported for NR.</w:t>
      </w:r>
    </w:p>
    <w:p w14:paraId="73C93781"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14: When a larger SCS schedules a smaller SCS for UL data, the overlapping slot is considered as K2=0.</w:t>
      </w:r>
    </w:p>
    <w:p w14:paraId="09634907"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15: When a smaller SCS schedules a larger SCS for UL data, K2=0 is defined for the slot whose beginning slot boundary is aligned with that of the slot containing PDCCH with UL grant.</w:t>
      </w:r>
    </w:p>
    <w:p w14:paraId="40F53A14"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16: When A/N is transmitted on a carrier with a smaller SCS, the overlapping slot is considered as K1=0.</w:t>
      </w:r>
    </w:p>
    <w:p w14:paraId="1AC1F55F"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17: When A/N is transmitted on a carrier with a larger SCS, K1=0 is defined for the slot whose ending slot boundary is aligned with that of the slot containing PDSCH.</w:t>
      </w:r>
    </w:p>
    <w:p w14:paraId="1DEF0AC4" w14:textId="77777777" w:rsidR="003D48C2" w:rsidRDefault="003D48C2">
      <w:pPr>
        <w:pStyle w:val="TableofFigures"/>
        <w:tabs>
          <w:tab w:val="right" w:leader="dot" w:pos="9628"/>
        </w:tabs>
        <w:rPr>
          <w:rFonts w:asciiTheme="minorHAnsi" w:eastAsiaTheme="minorEastAsia" w:hAnsiTheme="minorHAnsi" w:cstheme="minorBidi"/>
          <w:noProof/>
          <w:sz w:val="22"/>
          <w:szCs w:val="22"/>
        </w:rPr>
      </w:pPr>
      <w:r>
        <w:rPr>
          <w:noProof/>
        </w:rPr>
        <w:t>Proposal 18: NR supports a single power control group corresponding to a group of the same numerology per band.</w:t>
      </w:r>
    </w:p>
    <w:p w14:paraId="396FC5F9" w14:textId="6584E774" w:rsidR="00CF5E07" w:rsidRDefault="00331915" w:rsidP="00CF5E07">
      <w:pPr>
        <w:pStyle w:val="Caption"/>
        <w:ind w:left="720"/>
      </w:pPr>
      <w:r>
        <w:fldChar w:fldCharType="end"/>
      </w:r>
    </w:p>
    <w:p w14:paraId="730A85A5" w14:textId="5E40348E" w:rsidR="00C1473E" w:rsidRDefault="00BA6230" w:rsidP="00395DB2">
      <w:pPr>
        <w:pStyle w:val="Heading1"/>
      </w:pPr>
      <w:r>
        <w:t>References</w:t>
      </w:r>
    </w:p>
    <w:p w14:paraId="602D1FB9" w14:textId="3EA9505D" w:rsidR="00BA6230" w:rsidRPr="00F90CDA" w:rsidRDefault="00FC2F53" w:rsidP="00F90CDA">
      <w:pPr>
        <w:pStyle w:val="ListParagraph"/>
        <w:numPr>
          <w:ilvl w:val="0"/>
          <w:numId w:val="37"/>
        </w:numPr>
      </w:pPr>
      <w:r w:rsidRPr="00FC2F53" w:rsidDel="00260669">
        <w:t xml:space="preserve"> </w:t>
      </w:r>
      <w:r w:rsidR="00E744BD" w:rsidRPr="00FC2F53">
        <w:t xml:space="preserve">3GPP </w:t>
      </w:r>
      <w:r w:rsidR="00BA6230" w:rsidRPr="00092D01">
        <w:t>TS 36.133,</w:t>
      </w:r>
      <w:r w:rsidR="00E744BD" w:rsidRPr="00F90CDA">
        <w:t xml:space="preserve"> </w:t>
      </w:r>
      <w:r w:rsidR="00E744BD" w:rsidRPr="00F90CDA">
        <w:rPr>
          <w:rFonts w:cs="v4.2.0"/>
        </w:rPr>
        <w:t>Requirements for support of radio resource management.</w:t>
      </w:r>
    </w:p>
    <w:p w14:paraId="13FAAD42" w14:textId="57834FB9" w:rsidR="00BA6230" w:rsidRDefault="00E744BD" w:rsidP="00F90CDA">
      <w:pPr>
        <w:pStyle w:val="ListParagraph"/>
        <w:numPr>
          <w:ilvl w:val="0"/>
          <w:numId w:val="37"/>
        </w:numPr>
      </w:pPr>
      <w:bookmarkStart w:id="332" w:name="_Ref494735489"/>
      <w:r w:rsidRPr="00F90CDA">
        <w:lastRenderedPageBreak/>
        <w:t>R1-</w:t>
      </w:r>
      <w:r w:rsidR="00A20E24" w:rsidRPr="00F90CDA">
        <w:t>17</w:t>
      </w:r>
      <w:r w:rsidR="00A20E24">
        <w:t>20671</w:t>
      </w:r>
      <w:r w:rsidRPr="00F90CDA">
        <w:t xml:space="preserve">, </w:t>
      </w:r>
      <w:r w:rsidR="0024514D" w:rsidRPr="00F90CDA">
        <w:t>“</w:t>
      </w:r>
      <w:r w:rsidRPr="00F90CDA">
        <w:t>Remaining open issues on TRS</w:t>
      </w:r>
      <w:r w:rsidR="0024514D" w:rsidRPr="00F90CDA">
        <w:t>"</w:t>
      </w:r>
      <w:r w:rsidRPr="00F90CDA">
        <w:t>, Qualcomm Incorporated</w:t>
      </w:r>
      <w:r w:rsidRPr="00FC2F53">
        <w:t>.</w:t>
      </w:r>
      <w:bookmarkEnd w:id="332"/>
    </w:p>
    <w:p w14:paraId="566862DF" w14:textId="77777777" w:rsidR="00FC2F53" w:rsidRDefault="00FC2F53" w:rsidP="00FC2F53">
      <w:pPr>
        <w:pStyle w:val="ListParagraph"/>
        <w:numPr>
          <w:ilvl w:val="0"/>
          <w:numId w:val="37"/>
        </w:numPr>
      </w:pPr>
      <w:bookmarkStart w:id="333" w:name="_Ref494735002"/>
      <w:bookmarkStart w:id="334" w:name="_Ref494300936"/>
      <w:bookmarkStart w:id="335" w:name="_Ref494542387"/>
      <w:r w:rsidRPr="00FC2F53">
        <w:t>R1-1610135, "Evaluation of Frame Structure Design for UE Power", RAN1#86bis, Qualcomm</w:t>
      </w:r>
      <w:bookmarkEnd w:id="333"/>
    </w:p>
    <w:p w14:paraId="791719A5" w14:textId="00D2825E" w:rsidR="00260669" w:rsidRPr="00092D01" w:rsidRDefault="00260669" w:rsidP="00F90CDA">
      <w:pPr>
        <w:pStyle w:val="ListParagraph"/>
        <w:numPr>
          <w:ilvl w:val="0"/>
          <w:numId w:val="37"/>
        </w:numPr>
      </w:pPr>
      <w:r w:rsidRPr="00260669">
        <w:rPr>
          <w:lang w:val="en-US"/>
        </w:rPr>
        <w:t>Chairman’s Notes</w:t>
      </w:r>
      <w:r w:rsidRPr="00260669">
        <w:rPr>
          <w:lang w:val="en-US"/>
        </w:rPr>
        <w:tab/>
        <w:t>3GPP TSG RAN WG1 NR Ad-Hoc #3</w:t>
      </w:r>
      <w:bookmarkEnd w:id="334"/>
      <w:r w:rsidRPr="00260669">
        <w:rPr>
          <w:lang w:val="en-US"/>
        </w:rPr>
        <w:t>, 2017</w:t>
      </w:r>
      <w:bookmarkEnd w:id="335"/>
    </w:p>
    <w:p w14:paraId="1239F186" w14:textId="2A8C1A4F" w:rsidR="002F3C04" w:rsidRDefault="002F3C04" w:rsidP="00F90CDA">
      <w:pPr>
        <w:pStyle w:val="ListParagraph"/>
        <w:numPr>
          <w:ilvl w:val="0"/>
          <w:numId w:val="37"/>
        </w:numPr>
      </w:pPr>
      <w:bookmarkStart w:id="336" w:name="_Ref494746569"/>
      <w:r>
        <w:t>R4-</w:t>
      </w:r>
      <w:r w:rsidRPr="002F3C04">
        <w:t>1710173</w:t>
      </w:r>
      <w:r>
        <w:t>, “</w:t>
      </w:r>
      <w:r w:rsidRPr="002F3C04">
        <w:t>Wideband and CA Operation for NR</w:t>
      </w:r>
      <w:r>
        <w:t>”, RAN#84</w:t>
      </w:r>
      <w:r w:rsidRPr="002F3C04">
        <w:t>Bis</w:t>
      </w:r>
      <w:r>
        <w:t>, Qualcomm</w:t>
      </w:r>
      <w:bookmarkEnd w:id="336"/>
    </w:p>
    <w:p w14:paraId="484C5ABF" w14:textId="7895F0AD" w:rsidR="00854A0C" w:rsidRDefault="00854A0C" w:rsidP="00854A0C">
      <w:pPr>
        <w:numPr>
          <w:ilvl w:val="0"/>
          <w:numId w:val="37"/>
        </w:numPr>
        <w:spacing w:before="100" w:beforeAutospacing="1" w:after="100" w:afterAutospacing="1"/>
        <w:rPr>
          <w:szCs w:val="22"/>
        </w:rPr>
      </w:pPr>
      <w:bookmarkStart w:id="337" w:name="_Ref496029405"/>
      <w:r w:rsidRPr="0063042D">
        <w:rPr>
          <w:szCs w:val="22"/>
        </w:rPr>
        <w:t>R2-1711835</w:t>
      </w:r>
      <w:r>
        <w:rPr>
          <w:szCs w:val="22"/>
        </w:rPr>
        <w:t>, “</w:t>
      </w:r>
      <w:r w:rsidRPr="0063042D">
        <w:rPr>
          <w:szCs w:val="22"/>
        </w:rPr>
        <w:t>Report from LTE and NR User Plane Break-Out Session</w:t>
      </w:r>
      <w:r>
        <w:rPr>
          <w:szCs w:val="22"/>
        </w:rPr>
        <w:t>”, RAN2 #99bis, Se</w:t>
      </w:r>
      <w:r w:rsidRPr="0063042D">
        <w:rPr>
          <w:szCs w:val="22"/>
        </w:rPr>
        <w:t>ssion Chair (InterDigital)</w:t>
      </w:r>
      <w:bookmarkEnd w:id="337"/>
    </w:p>
    <w:p w14:paraId="2B3F0B5E" w14:textId="25F54308" w:rsidR="00854A0C" w:rsidRDefault="00854A0C" w:rsidP="006A76A6">
      <w:pPr>
        <w:pStyle w:val="ListParagraph"/>
        <w:numPr>
          <w:ilvl w:val="0"/>
          <w:numId w:val="37"/>
        </w:numPr>
      </w:pPr>
      <w:bookmarkStart w:id="338" w:name="_Ref498707498"/>
      <w:r w:rsidRPr="00BE6038">
        <w:t>R1-</w:t>
      </w:r>
      <w:r w:rsidRPr="00854A0C">
        <w:t>1720693</w:t>
      </w:r>
      <w:r>
        <w:t>, “</w:t>
      </w:r>
      <w:r w:rsidRPr="00BE6038">
        <w:t>Open Issues on BWP</w:t>
      </w:r>
      <w:r>
        <w:t>”, RAN1#91, Qualcomm</w:t>
      </w:r>
      <w:bookmarkEnd w:id="338"/>
    </w:p>
    <w:p w14:paraId="4D194EEA" w14:textId="27412F51" w:rsidR="000178F8" w:rsidRPr="002A7671" w:rsidRDefault="000178F8" w:rsidP="006A76A6">
      <w:pPr>
        <w:pStyle w:val="ListParagraph"/>
        <w:numPr>
          <w:ilvl w:val="0"/>
          <w:numId w:val="37"/>
        </w:numPr>
      </w:pPr>
      <w:r>
        <w:t>R1-1720678, “Discussion on DCI related issues”, RAN1#91, Qualcomm</w:t>
      </w:r>
    </w:p>
    <w:p w14:paraId="5BDA1C8B" w14:textId="77777777" w:rsidR="00854A0C" w:rsidRPr="00260669" w:rsidRDefault="00854A0C" w:rsidP="006A76A6"/>
    <w:sectPr w:rsidR="00854A0C" w:rsidRPr="00260669" w:rsidSect="008331BB">
      <w:headerReference w:type="even" r:id="rId38"/>
      <w:footerReference w:type="even" r:id="rId39"/>
      <w:footerReference w:type="default" r:id="rId40"/>
      <w:footnotePr>
        <w:numRestart w:val="eachSect"/>
      </w:footnotePr>
      <w:type w:val="continuous"/>
      <w:pgSz w:w="11906" w:h="16838" w:code="9"/>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0298E6" w14:textId="77777777" w:rsidR="00C51A6A" w:rsidRDefault="00C51A6A">
      <w:r>
        <w:separator/>
      </w:r>
    </w:p>
  </w:endnote>
  <w:endnote w:type="continuationSeparator" w:id="0">
    <w:p w14:paraId="4FE46140" w14:textId="77777777" w:rsidR="00C51A6A" w:rsidRDefault="00C51A6A">
      <w:r>
        <w:continuationSeparator/>
      </w:r>
    </w:p>
  </w:endnote>
  <w:endnote w:type="continuationNotice" w:id="1">
    <w:p w14:paraId="7F06B633" w14:textId="77777777" w:rsidR="00C51A6A" w:rsidRDefault="00C51A6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1" w14:textId="77777777" w:rsidR="00A2322E" w:rsidRDefault="00A2322E"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3B7F8A2" w14:textId="77777777" w:rsidR="00A2322E" w:rsidRDefault="00A2322E"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3" w14:textId="15618B6F" w:rsidR="00A2322E" w:rsidRDefault="00A2322E"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B62F1E">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B62F1E">
      <w:rPr>
        <w:rStyle w:val="PageNumber"/>
      </w:rPr>
      <w:t>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3E207B" w14:textId="77777777" w:rsidR="00C51A6A" w:rsidRDefault="00C51A6A">
      <w:r>
        <w:separator/>
      </w:r>
    </w:p>
  </w:footnote>
  <w:footnote w:type="continuationSeparator" w:id="0">
    <w:p w14:paraId="4CD1E2A8" w14:textId="77777777" w:rsidR="00C51A6A" w:rsidRDefault="00C51A6A">
      <w:r>
        <w:continuationSeparator/>
      </w:r>
    </w:p>
  </w:footnote>
  <w:footnote w:type="continuationNotice" w:id="1">
    <w:p w14:paraId="7EAF4661" w14:textId="77777777" w:rsidR="00C51A6A" w:rsidRDefault="00C51A6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B7F8A0" w14:textId="77777777" w:rsidR="00A2322E" w:rsidRDefault="00A2322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70" type="#_x0000_t75" style="width:15.6pt;height:15.6pt" o:bullet="t">
        <v:imagedata r:id="rId1" o:title="art4585"/>
      </v:shape>
    </w:pict>
  </w:numPicBullet>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020073D"/>
    <w:multiLevelType w:val="hybridMultilevel"/>
    <w:tmpl w:val="CFBA95E8"/>
    <w:lvl w:ilvl="0" w:tplc="4D562A80">
      <w:start w:val="1"/>
      <w:numFmt w:val="bullet"/>
      <w:lvlText w:val="•"/>
      <w:lvlJc w:val="left"/>
      <w:pPr>
        <w:tabs>
          <w:tab w:val="num" w:pos="360"/>
        </w:tabs>
        <w:ind w:left="360" w:hanging="360"/>
      </w:pPr>
      <w:rPr>
        <w:rFonts w:ascii="Arial" w:hAnsi="Arial" w:hint="default"/>
      </w:rPr>
    </w:lvl>
    <w:lvl w:ilvl="1" w:tplc="F78EB670">
      <w:start w:val="2960"/>
      <w:numFmt w:val="bullet"/>
      <w:lvlText w:val="–"/>
      <w:lvlJc w:val="left"/>
      <w:pPr>
        <w:tabs>
          <w:tab w:val="num" w:pos="1080"/>
        </w:tabs>
        <w:ind w:left="1080" w:hanging="360"/>
      </w:pPr>
      <w:rPr>
        <w:rFonts w:ascii="Arial" w:hAnsi="Arial" w:hint="default"/>
      </w:rPr>
    </w:lvl>
    <w:lvl w:ilvl="2" w:tplc="57E6983E" w:tentative="1">
      <w:start w:val="1"/>
      <w:numFmt w:val="bullet"/>
      <w:lvlText w:val="•"/>
      <w:lvlJc w:val="left"/>
      <w:pPr>
        <w:tabs>
          <w:tab w:val="num" w:pos="1800"/>
        </w:tabs>
        <w:ind w:left="1800" w:hanging="360"/>
      </w:pPr>
      <w:rPr>
        <w:rFonts w:ascii="Arial" w:hAnsi="Arial" w:hint="default"/>
      </w:rPr>
    </w:lvl>
    <w:lvl w:ilvl="3" w:tplc="273ED4AC" w:tentative="1">
      <w:start w:val="1"/>
      <w:numFmt w:val="bullet"/>
      <w:lvlText w:val="•"/>
      <w:lvlJc w:val="left"/>
      <w:pPr>
        <w:tabs>
          <w:tab w:val="num" w:pos="2520"/>
        </w:tabs>
        <w:ind w:left="2520" w:hanging="360"/>
      </w:pPr>
      <w:rPr>
        <w:rFonts w:ascii="Arial" w:hAnsi="Arial" w:hint="default"/>
      </w:rPr>
    </w:lvl>
    <w:lvl w:ilvl="4" w:tplc="792894BC" w:tentative="1">
      <w:start w:val="1"/>
      <w:numFmt w:val="bullet"/>
      <w:lvlText w:val="•"/>
      <w:lvlJc w:val="left"/>
      <w:pPr>
        <w:tabs>
          <w:tab w:val="num" w:pos="3240"/>
        </w:tabs>
        <w:ind w:left="3240" w:hanging="360"/>
      </w:pPr>
      <w:rPr>
        <w:rFonts w:ascii="Arial" w:hAnsi="Arial" w:hint="default"/>
      </w:rPr>
    </w:lvl>
    <w:lvl w:ilvl="5" w:tplc="6CCE9C70" w:tentative="1">
      <w:start w:val="1"/>
      <w:numFmt w:val="bullet"/>
      <w:lvlText w:val="•"/>
      <w:lvlJc w:val="left"/>
      <w:pPr>
        <w:tabs>
          <w:tab w:val="num" w:pos="3960"/>
        </w:tabs>
        <w:ind w:left="3960" w:hanging="360"/>
      </w:pPr>
      <w:rPr>
        <w:rFonts w:ascii="Arial" w:hAnsi="Arial" w:hint="default"/>
      </w:rPr>
    </w:lvl>
    <w:lvl w:ilvl="6" w:tplc="F7169D32" w:tentative="1">
      <w:start w:val="1"/>
      <w:numFmt w:val="bullet"/>
      <w:lvlText w:val="•"/>
      <w:lvlJc w:val="left"/>
      <w:pPr>
        <w:tabs>
          <w:tab w:val="num" w:pos="4680"/>
        </w:tabs>
        <w:ind w:left="4680" w:hanging="360"/>
      </w:pPr>
      <w:rPr>
        <w:rFonts w:ascii="Arial" w:hAnsi="Arial" w:hint="default"/>
      </w:rPr>
    </w:lvl>
    <w:lvl w:ilvl="7" w:tplc="00D4349E" w:tentative="1">
      <w:start w:val="1"/>
      <w:numFmt w:val="bullet"/>
      <w:lvlText w:val="•"/>
      <w:lvlJc w:val="left"/>
      <w:pPr>
        <w:tabs>
          <w:tab w:val="num" w:pos="5400"/>
        </w:tabs>
        <w:ind w:left="5400" w:hanging="360"/>
      </w:pPr>
      <w:rPr>
        <w:rFonts w:ascii="Arial" w:hAnsi="Arial" w:hint="default"/>
      </w:rPr>
    </w:lvl>
    <w:lvl w:ilvl="8" w:tplc="20A22904" w:tentative="1">
      <w:start w:val="1"/>
      <w:numFmt w:val="bullet"/>
      <w:lvlText w:val="•"/>
      <w:lvlJc w:val="left"/>
      <w:pPr>
        <w:tabs>
          <w:tab w:val="num" w:pos="6120"/>
        </w:tabs>
        <w:ind w:left="6120" w:hanging="360"/>
      </w:pPr>
      <w:rPr>
        <w:rFonts w:ascii="Arial" w:hAnsi="Arial" w:hint="default"/>
      </w:rPr>
    </w:lvl>
  </w:abstractNum>
  <w:abstractNum w:abstractNumId="2" w15:restartNumberingAfterBreak="0">
    <w:nsid w:val="05CA4664"/>
    <w:multiLevelType w:val="hybridMultilevel"/>
    <w:tmpl w:val="5F8CF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8F836F8"/>
    <w:multiLevelType w:val="hybridMultilevel"/>
    <w:tmpl w:val="06263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84511D"/>
    <w:multiLevelType w:val="hybridMultilevel"/>
    <w:tmpl w:val="04DE1272"/>
    <w:lvl w:ilvl="0" w:tplc="F6EA07FC">
      <w:start w:val="1"/>
      <w:numFmt w:val="bullet"/>
      <w:lvlText w:val="•"/>
      <w:lvlJc w:val="left"/>
      <w:pPr>
        <w:tabs>
          <w:tab w:val="num" w:pos="720"/>
        </w:tabs>
        <w:ind w:left="720" w:hanging="360"/>
      </w:pPr>
      <w:rPr>
        <w:rFonts w:ascii="Arial" w:hAnsi="Arial" w:hint="default"/>
      </w:rPr>
    </w:lvl>
    <w:lvl w:ilvl="1" w:tplc="CF5212F8">
      <w:numFmt w:val="bullet"/>
      <w:lvlText w:val="•"/>
      <w:lvlJc w:val="left"/>
      <w:pPr>
        <w:tabs>
          <w:tab w:val="num" w:pos="1440"/>
        </w:tabs>
        <w:ind w:left="1440" w:hanging="360"/>
      </w:pPr>
      <w:rPr>
        <w:rFonts w:ascii="Arial" w:hAnsi="Arial" w:hint="default"/>
      </w:rPr>
    </w:lvl>
    <w:lvl w:ilvl="2" w:tplc="1B2857B6">
      <w:numFmt w:val="bullet"/>
      <w:lvlText w:val="•"/>
      <w:lvlJc w:val="left"/>
      <w:pPr>
        <w:tabs>
          <w:tab w:val="num" w:pos="2160"/>
        </w:tabs>
        <w:ind w:left="2160" w:hanging="360"/>
      </w:pPr>
      <w:rPr>
        <w:rFonts w:ascii="Arial" w:hAnsi="Arial" w:hint="default"/>
      </w:rPr>
    </w:lvl>
    <w:lvl w:ilvl="3" w:tplc="5CF0C03E" w:tentative="1">
      <w:start w:val="1"/>
      <w:numFmt w:val="bullet"/>
      <w:lvlText w:val="•"/>
      <w:lvlJc w:val="left"/>
      <w:pPr>
        <w:tabs>
          <w:tab w:val="num" w:pos="2880"/>
        </w:tabs>
        <w:ind w:left="2880" w:hanging="360"/>
      </w:pPr>
      <w:rPr>
        <w:rFonts w:ascii="Arial" w:hAnsi="Arial" w:hint="default"/>
      </w:rPr>
    </w:lvl>
    <w:lvl w:ilvl="4" w:tplc="C35E81EA" w:tentative="1">
      <w:start w:val="1"/>
      <w:numFmt w:val="bullet"/>
      <w:lvlText w:val="•"/>
      <w:lvlJc w:val="left"/>
      <w:pPr>
        <w:tabs>
          <w:tab w:val="num" w:pos="3600"/>
        </w:tabs>
        <w:ind w:left="3600" w:hanging="360"/>
      </w:pPr>
      <w:rPr>
        <w:rFonts w:ascii="Arial" w:hAnsi="Arial" w:hint="default"/>
      </w:rPr>
    </w:lvl>
    <w:lvl w:ilvl="5" w:tplc="93780012" w:tentative="1">
      <w:start w:val="1"/>
      <w:numFmt w:val="bullet"/>
      <w:lvlText w:val="•"/>
      <w:lvlJc w:val="left"/>
      <w:pPr>
        <w:tabs>
          <w:tab w:val="num" w:pos="4320"/>
        </w:tabs>
        <w:ind w:left="4320" w:hanging="360"/>
      </w:pPr>
      <w:rPr>
        <w:rFonts w:ascii="Arial" w:hAnsi="Arial" w:hint="default"/>
      </w:rPr>
    </w:lvl>
    <w:lvl w:ilvl="6" w:tplc="F7FC3CA2" w:tentative="1">
      <w:start w:val="1"/>
      <w:numFmt w:val="bullet"/>
      <w:lvlText w:val="•"/>
      <w:lvlJc w:val="left"/>
      <w:pPr>
        <w:tabs>
          <w:tab w:val="num" w:pos="5040"/>
        </w:tabs>
        <w:ind w:left="5040" w:hanging="360"/>
      </w:pPr>
      <w:rPr>
        <w:rFonts w:ascii="Arial" w:hAnsi="Arial" w:hint="default"/>
      </w:rPr>
    </w:lvl>
    <w:lvl w:ilvl="7" w:tplc="7E924964" w:tentative="1">
      <w:start w:val="1"/>
      <w:numFmt w:val="bullet"/>
      <w:lvlText w:val="•"/>
      <w:lvlJc w:val="left"/>
      <w:pPr>
        <w:tabs>
          <w:tab w:val="num" w:pos="5760"/>
        </w:tabs>
        <w:ind w:left="5760" w:hanging="360"/>
      </w:pPr>
      <w:rPr>
        <w:rFonts w:ascii="Arial" w:hAnsi="Arial" w:hint="default"/>
      </w:rPr>
    </w:lvl>
    <w:lvl w:ilvl="8" w:tplc="D7CAD92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B6D177E"/>
    <w:multiLevelType w:val="hybridMultilevel"/>
    <w:tmpl w:val="C7E415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AE141E"/>
    <w:multiLevelType w:val="hybridMultilevel"/>
    <w:tmpl w:val="EA42A2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0472AD"/>
    <w:multiLevelType w:val="hybridMultilevel"/>
    <w:tmpl w:val="55FAD3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2585BDE"/>
    <w:multiLevelType w:val="hybridMultilevel"/>
    <w:tmpl w:val="14F089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4117E61"/>
    <w:multiLevelType w:val="hybridMultilevel"/>
    <w:tmpl w:val="375E60FC"/>
    <w:lvl w:ilvl="0" w:tplc="226E3606">
      <w:start w:val="1"/>
      <w:numFmt w:val="bullet"/>
      <w:lvlText w:val="•"/>
      <w:lvlJc w:val="left"/>
      <w:pPr>
        <w:tabs>
          <w:tab w:val="num" w:pos="720"/>
        </w:tabs>
        <w:ind w:left="720" w:hanging="360"/>
      </w:pPr>
      <w:rPr>
        <w:rFonts w:ascii="Arial" w:hAnsi="Arial" w:hint="default"/>
      </w:rPr>
    </w:lvl>
    <w:lvl w:ilvl="1" w:tplc="00FACF90">
      <w:numFmt w:val="bullet"/>
      <w:lvlText w:val="•"/>
      <w:lvlJc w:val="left"/>
      <w:pPr>
        <w:tabs>
          <w:tab w:val="num" w:pos="1440"/>
        </w:tabs>
        <w:ind w:left="1440" w:hanging="360"/>
      </w:pPr>
      <w:rPr>
        <w:rFonts w:ascii="Arial" w:hAnsi="Arial" w:hint="default"/>
      </w:rPr>
    </w:lvl>
    <w:lvl w:ilvl="2" w:tplc="7E0E6DDA">
      <w:numFmt w:val="bullet"/>
      <w:lvlText w:val="•"/>
      <w:lvlJc w:val="left"/>
      <w:pPr>
        <w:tabs>
          <w:tab w:val="num" w:pos="2160"/>
        </w:tabs>
        <w:ind w:left="2160" w:hanging="360"/>
      </w:pPr>
      <w:rPr>
        <w:rFonts w:ascii="Arial" w:hAnsi="Arial" w:hint="default"/>
      </w:rPr>
    </w:lvl>
    <w:lvl w:ilvl="3" w:tplc="A46C6A0E">
      <w:numFmt w:val="bullet"/>
      <w:lvlText w:val="•"/>
      <w:lvlJc w:val="left"/>
      <w:pPr>
        <w:tabs>
          <w:tab w:val="num" w:pos="2880"/>
        </w:tabs>
        <w:ind w:left="2880" w:hanging="360"/>
      </w:pPr>
      <w:rPr>
        <w:rFonts w:ascii="Arial" w:hAnsi="Arial" w:hint="default"/>
      </w:rPr>
    </w:lvl>
    <w:lvl w:ilvl="4" w:tplc="0B86714C" w:tentative="1">
      <w:start w:val="1"/>
      <w:numFmt w:val="bullet"/>
      <w:lvlText w:val="•"/>
      <w:lvlJc w:val="left"/>
      <w:pPr>
        <w:tabs>
          <w:tab w:val="num" w:pos="3600"/>
        </w:tabs>
        <w:ind w:left="3600" w:hanging="360"/>
      </w:pPr>
      <w:rPr>
        <w:rFonts w:ascii="Arial" w:hAnsi="Arial" w:hint="default"/>
      </w:rPr>
    </w:lvl>
    <w:lvl w:ilvl="5" w:tplc="DDB4BECA" w:tentative="1">
      <w:start w:val="1"/>
      <w:numFmt w:val="bullet"/>
      <w:lvlText w:val="•"/>
      <w:lvlJc w:val="left"/>
      <w:pPr>
        <w:tabs>
          <w:tab w:val="num" w:pos="4320"/>
        </w:tabs>
        <w:ind w:left="4320" w:hanging="360"/>
      </w:pPr>
      <w:rPr>
        <w:rFonts w:ascii="Arial" w:hAnsi="Arial" w:hint="default"/>
      </w:rPr>
    </w:lvl>
    <w:lvl w:ilvl="6" w:tplc="F4949912" w:tentative="1">
      <w:start w:val="1"/>
      <w:numFmt w:val="bullet"/>
      <w:lvlText w:val="•"/>
      <w:lvlJc w:val="left"/>
      <w:pPr>
        <w:tabs>
          <w:tab w:val="num" w:pos="5040"/>
        </w:tabs>
        <w:ind w:left="5040" w:hanging="360"/>
      </w:pPr>
      <w:rPr>
        <w:rFonts w:ascii="Arial" w:hAnsi="Arial" w:hint="default"/>
      </w:rPr>
    </w:lvl>
    <w:lvl w:ilvl="7" w:tplc="EF6E116E" w:tentative="1">
      <w:start w:val="1"/>
      <w:numFmt w:val="bullet"/>
      <w:lvlText w:val="•"/>
      <w:lvlJc w:val="left"/>
      <w:pPr>
        <w:tabs>
          <w:tab w:val="num" w:pos="5760"/>
        </w:tabs>
        <w:ind w:left="5760" w:hanging="360"/>
      </w:pPr>
      <w:rPr>
        <w:rFonts w:ascii="Arial" w:hAnsi="Arial" w:hint="default"/>
      </w:rPr>
    </w:lvl>
    <w:lvl w:ilvl="8" w:tplc="F8A217C6"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5423E3D"/>
    <w:multiLevelType w:val="hybridMultilevel"/>
    <w:tmpl w:val="D278C9E2"/>
    <w:lvl w:ilvl="0" w:tplc="9D8A6048">
      <w:start w:val="1"/>
      <w:numFmt w:val="bullet"/>
      <w:lvlText w:val="•"/>
      <w:lvlJc w:val="left"/>
      <w:pPr>
        <w:tabs>
          <w:tab w:val="num" w:pos="720"/>
        </w:tabs>
        <w:ind w:left="720" w:hanging="360"/>
      </w:pPr>
      <w:rPr>
        <w:rFonts w:ascii="Arial" w:hAnsi="Arial" w:hint="default"/>
      </w:rPr>
    </w:lvl>
    <w:lvl w:ilvl="1" w:tplc="37B811AE">
      <w:numFmt w:val="bullet"/>
      <w:lvlText w:val="–"/>
      <w:lvlJc w:val="left"/>
      <w:pPr>
        <w:tabs>
          <w:tab w:val="num" w:pos="1440"/>
        </w:tabs>
        <w:ind w:left="1440" w:hanging="360"/>
      </w:pPr>
      <w:rPr>
        <w:rFonts w:ascii="Arial" w:hAnsi="Arial" w:hint="default"/>
      </w:rPr>
    </w:lvl>
    <w:lvl w:ilvl="2" w:tplc="B740C4E6">
      <w:start w:val="1"/>
      <w:numFmt w:val="bullet"/>
      <w:lvlText w:val="•"/>
      <w:lvlJc w:val="left"/>
      <w:pPr>
        <w:tabs>
          <w:tab w:val="num" w:pos="2160"/>
        </w:tabs>
        <w:ind w:left="2160" w:hanging="360"/>
      </w:pPr>
      <w:rPr>
        <w:rFonts w:ascii="Arial" w:hAnsi="Arial" w:hint="default"/>
      </w:rPr>
    </w:lvl>
    <w:lvl w:ilvl="3" w:tplc="5B7AD4C4" w:tentative="1">
      <w:start w:val="1"/>
      <w:numFmt w:val="bullet"/>
      <w:lvlText w:val="•"/>
      <w:lvlJc w:val="left"/>
      <w:pPr>
        <w:tabs>
          <w:tab w:val="num" w:pos="2880"/>
        </w:tabs>
        <w:ind w:left="2880" w:hanging="360"/>
      </w:pPr>
      <w:rPr>
        <w:rFonts w:ascii="Arial" w:hAnsi="Arial" w:hint="default"/>
      </w:rPr>
    </w:lvl>
    <w:lvl w:ilvl="4" w:tplc="113467A2" w:tentative="1">
      <w:start w:val="1"/>
      <w:numFmt w:val="bullet"/>
      <w:lvlText w:val="•"/>
      <w:lvlJc w:val="left"/>
      <w:pPr>
        <w:tabs>
          <w:tab w:val="num" w:pos="3600"/>
        </w:tabs>
        <w:ind w:left="3600" w:hanging="360"/>
      </w:pPr>
      <w:rPr>
        <w:rFonts w:ascii="Arial" w:hAnsi="Arial" w:hint="default"/>
      </w:rPr>
    </w:lvl>
    <w:lvl w:ilvl="5" w:tplc="453EB7A8" w:tentative="1">
      <w:start w:val="1"/>
      <w:numFmt w:val="bullet"/>
      <w:lvlText w:val="•"/>
      <w:lvlJc w:val="left"/>
      <w:pPr>
        <w:tabs>
          <w:tab w:val="num" w:pos="4320"/>
        </w:tabs>
        <w:ind w:left="4320" w:hanging="360"/>
      </w:pPr>
      <w:rPr>
        <w:rFonts w:ascii="Arial" w:hAnsi="Arial" w:hint="default"/>
      </w:rPr>
    </w:lvl>
    <w:lvl w:ilvl="6" w:tplc="36246832" w:tentative="1">
      <w:start w:val="1"/>
      <w:numFmt w:val="bullet"/>
      <w:lvlText w:val="•"/>
      <w:lvlJc w:val="left"/>
      <w:pPr>
        <w:tabs>
          <w:tab w:val="num" w:pos="5040"/>
        </w:tabs>
        <w:ind w:left="5040" w:hanging="360"/>
      </w:pPr>
      <w:rPr>
        <w:rFonts w:ascii="Arial" w:hAnsi="Arial" w:hint="default"/>
      </w:rPr>
    </w:lvl>
    <w:lvl w:ilvl="7" w:tplc="A02AD27C" w:tentative="1">
      <w:start w:val="1"/>
      <w:numFmt w:val="bullet"/>
      <w:lvlText w:val="•"/>
      <w:lvlJc w:val="left"/>
      <w:pPr>
        <w:tabs>
          <w:tab w:val="num" w:pos="5760"/>
        </w:tabs>
        <w:ind w:left="5760" w:hanging="360"/>
      </w:pPr>
      <w:rPr>
        <w:rFonts w:ascii="Arial" w:hAnsi="Arial" w:hint="default"/>
      </w:rPr>
    </w:lvl>
    <w:lvl w:ilvl="8" w:tplc="8CC296C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15E34E96"/>
    <w:multiLevelType w:val="hybridMultilevel"/>
    <w:tmpl w:val="1B32C5AA"/>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1BF127DC"/>
    <w:multiLevelType w:val="hybridMultilevel"/>
    <w:tmpl w:val="CEE49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5101B"/>
    <w:multiLevelType w:val="hybridMultilevel"/>
    <w:tmpl w:val="341EACFA"/>
    <w:lvl w:ilvl="0" w:tplc="A634B9E6">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D5302F"/>
    <w:multiLevelType w:val="hybridMultilevel"/>
    <w:tmpl w:val="53C29F32"/>
    <w:lvl w:ilvl="0" w:tplc="BEDCA22A">
      <w:start w:val="1"/>
      <w:numFmt w:val="bullet"/>
      <w:lvlText w:val="•"/>
      <w:lvlJc w:val="left"/>
      <w:pPr>
        <w:tabs>
          <w:tab w:val="num" w:pos="360"/>
        </w:tabs>
        <w:ind w:left="360" w:hanging="360"/>
      </w:pPr>
      <w:rPr>
        <w:rFonts w:ascii="Arial" w:hAnsi="Arial" w:hint="default"/>
      </w:rPr>
    </w:lvl>
    <w:lvl w:ilvl="1" w:tplc="D72E7896">
      <w:numFmt w:val="bullet"/>
      <w:lvlText w:val="–"/>
      <w:lvlJc w:val="left"/>
      <w:pPr>
        <w:tabs>
          <w:tab w:val="num" w:pos="1080"/>
        </w:tabs>
        <w:ind w:left="1080" w:hanging="360"/>
      </w:pPr>
      <w:rPr>
        <w:rFonts w:ascii="Arial" w:hAnsi="Arial" w:hint="default"/>
      </w:rPr>
    </w:lvl>
    <w:lvl w:ilvl="2" w:tplc="99FABAC0">
      <w:start w:val="1"/>
      <w:numFmt w:val="bullet"/>
      <w:lvlText w:val="•"/>
      <w:lvlJc w:val="left"/>
      <w:pPr>
        <w:tabs>
          <w:tab w:val="num" w:pos="1800"/>
        </w:tabs>
        <w:ind w:left="1800" w:hanging="360"/>
      </w:pPr>
      <w:rPr>
        <w:rFonts w:ascii="Arial" w:hAnsi="Arial" w:hint="default"/>
      </w:rPr>
    </w:lvl>
    <w:lvl w:ilvl="3" w:tplc="EA0664EC" w:tentative="1">
      <w:start w:val="1"/>
      <w:numFmt w:val="bullet"/>
      <w:lvlText w:val="•"/>
      <w:lvlJc w:val="left"/>
      <w:pPr>
        <w:tabs>
          <w:tab w:val="num" w:pos="2520"/>
        </w:tabs>
        <w:ind w:left="2520" w:hanging="360"/>
      </w:pPr>
      <w:rPr>
        <w:rFonts w:ascii="Arial" w:hAnsi="Arial" w:hint="default"/>
      </w:rPr>
    </w:lvl>
    <w:lvl w:ilvl="4" w:tplc="0CBCF4B8" w:tentative="1">
      <w:start w:val="1"/>
      <w:numFmt w:val="bullet"/>
      <w:lvlText w:val="•"/>
      <w:lvlJc w:val="left"/>
      <w:pPr>
        <w:tabs>
          <w:tab w:val="num" w:pos="3240"/>
        </w:tabs>
        <w:ind w:left="3240" w:hanging="360"/>
      </w:pPr>
      <w:rPr>
        <w:rFonts w:ascii="Arial" w:hAnsi="Arial" w:hint="default"/>
      </w:rPr>
    </w:lvl>
    <w:lvl w:ilvl="5" w:tplc="BACEFE74" w:tentative="1">
      <w:start w:val="1"/>
      <w:numFmt w:val="bullet"/>
      <w:lvlText w:val="•"/>
      <w:lvlJc w:val="left"/>
      <w:pPr>
        <w:tabs>
          <w:tab w:val="num" w:pos="3960"/>
        </w:tabs>
        <w:ind w:left="3960" w:hanging="360"/>
      </w:pPr>
      <w:rPr>
        <w:rFonts w:ascii="Arial" w:hAnsi="Arial" w:hint="default"/>
      </w:rPr>
    </w:lvl>
    <w:lvl w:ilvl="6" w:tplc="5AE8F5F0" w:tentative="1">
      <w:start w:val="1"/>
      <w:numFmt w:val="bullet"/>
      <w:lvlText w:val="•"/>
      <w:lvlJc w:val="left"/>
      <w:pPr>
        <w:tabs>
          <w:tab w:val="num" w:pos="4680"/>
        </w:tabs>
        <w:ind w:left="4680" w:hanging="360"/>
      </w:pPr>
      <w:rPr>
        <w:rFonts w:ascii="Arial" w:hAnsi="Arial" w:hint="default"/>
      </w:rPr>
    </w:lvl>
    <w:lvl w:ilvl="7" w:tplc="AB043FF6" w:tentative="1">
      <w:start w:val="1"/>
      <w:numFmt w:val="bullet"/>
      <w:lvlText w:val="•"/>
      <w:lvlJc w:val="left"/>
      <w:pPr>
        <w:tabs>
          <w:tab w:val="num" w:pos="5400"/>
        </w:tabs>
        <w:ind w:left="5400" w:hanging="360"/>
      </w:pPr>
      <w:rPr>
        <w:rFonts w:ascii="Arial" w:hAnsi="Arial" w:hint="default"/>
      </w:rPr>
    </w:lvl>
    <w:lvl w:ilvl="8" w:tplc="14882D3C"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24C26FB8"/>
    <w:multiLevelType w:val="hybridMultilevel"/>
    <w:tmpl w:val="561E58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1B6999"/>
    <w:multiLevelType w:val="hybridMultilevel"/>
    <w:tmpl w:val="C7CC80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9" w15:restartNumberingAfterBreak="0">
    <w:nsid w:val="2DF66E5F"/>
    <w:multiLevelType w:val="hybridMultilevel"/>
    <w:tmpl w:val="DF3A3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E5A7989"/>
    <w:multiLevelType w:val="hybridMultilevel"/>
    <w:tmpl w:val="E668CEE0"/>
    <w:lvl w:ilvl="0" w:tplc="4E6028C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1">
      <w:start w:val="1"/>
      <w:numFmt w:val="bullet"/>
      <w:lvlText w:val=""/>
      <w:lvlJc w:val="left"/>
      <w:pPr>
        <w:ind w:left="2880" w:hanging="360"/>
      </w:pPr>
      <w:rPr>
        <w:rFonts w:ascii="Symbol" w:hAnsi="Symbol" w:hint="default"/>
      </w:rPr>
    </w:lvl>
    <w:lvl w:ilvl="4" w:tplc="04090001">
      <w:start w:val="1"/>
      <w:numFmt w:val="bullet"/>
      <w:lvlText w:val=""/>
      <w:lvlJc w:val="left"/>
      <w:pPr>
        <w:ind w:left="3600" w:hanging="360"/>
      </w:pPr>
      <w:rPr>
        <w:rFonts w:ascii="Symbol" w:hAnsi="Symbol"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03E08EC"/>
    <w:multiLevelType w:val="hybridMultilevel"/>
    <w:tmpl w:val="0234C0C6"/>
    <w:lvl w:ilvl="0" w:tplc="1ABE4A3C">
      <w:start w:val="1"/>
      <w:numFmt w:val="bullet"/>
      <w:lvlText w:val="•"/>
      <w:lvlJc w:val="left"/>
      <w:pPr>
        <w:tabs>
          <w:tab w:val="num" w:pos="360"/>
        </w:tabs>
        <w:ind w:left="360" w:hanging="360"/>
      </w:pPr>
      <w:rPr>
        <w:rFonts w:ascii="Arial" w:hAnsi="Arial" w:hint="default"/>
      </w:rPr>
    </w:lvl>
    <w:lvl w:ilvl="1" w:tplc="32FE852A">
      <w:numFmt w:val="bullet"/>
      <w:lvlText w:val="–"/>
      <w:lvlJc w:val="left"/>
      <w:pPr>
        <w:tabs>
          <w:tab w:val="num" w:pos="1080"/>
        </w:tabs>
        <w:ind w:left="1080" w:hanging="360"/>
      </w:pPr>
      <w:rPr>
        <w:rFonts w:ascii="Arial" w:hAnsi="Arial" w:hint="default"/>
      </w:rPr>
    </w:lvl>
    <w:lvl w:ilvl="2" w:tplc="0544788E">
      <w:numFmt w:val="bullet"/>
      <w:lvlText w:val="•"/>
      <w:lvlJc w:val="left"/>
      <w:pPr>
        <w:tabs>
          <w:tab w:val="num" w:pos="1800"/>
        </w:tabs>
        <w:ind w:left="1800" w:hanging="360"/>
      </w:pPr>
      <w:rPr>
        <w:rFonts w:ascii="Arial" w:hAnsi="Arial" w:hint="default"/>
      </w:rPr>
    </w:lvl>
    <w:lvl w:ilvl="3" w:tplc="8498434E" w:tentative="1">
      <w:start w:val="1"/>
      <w:numFmt w:val="bullet"/>
      <w:lvlText w:val="•"/>
      <w:lvlJc w:val="left"/>
      <w:pPr>
        <w:tabs>
          <w:tab w:val="num" w:pos="2520"/>
        </w:tabs>
        <w:ind w:left="2520" w:hanging="360"/>
      </w:pPr>
      <w:rPr>
        <w:rFonts w:ascii="Arial" w:hAnsi="Arial" w:hint="default"/>
      </w:rPr>
    </w:lvl>
    <w:lvl w:ilvl="4" w:tplc="9DA09784" w:tentative="1">
      <w:start w:val="1"/>
      <w:numFmt w:val="bullet"/>
      <w:lvlText w:val="•"/>
      <w:lvlJc w:val="left"/>
      <w:pPr>
        <w:tabs>
          <w:tab w:val="num" w:pos="3240"/>
        </w:tabs>
        <w:ind w:left="3240" w:hanging="360"/>
      </w:pPr>
      <w:rPr>
        <w:rFonts w:ascii="Arial" w:hAnsi="Arial" w:hint="default"/>
      </w:rPr>
    </w:lvl>
    <w:lvl w:ilvl="5" w:tplc="4EFEECB6" w:tentative="1">
      <w:start w:val="1"/>
      <w:numFmt w:val="bullet"/>
      <w:lvlText w:val="•"/>
      <w:lvlJc w:val="left"/>
      <w:pPr>
        <w:tabs>
          <w:tab w:val="num" w:pos="3960"/>
        </w:tabs>
        <w:ind w:left="3960" w:hanging="360"/>
      </w:pPr>
      <w:rPr>
        <w:rFonts w:ascii="Arial" w:hAnsi="Arial" w:hint="default"/>
      </w:rPr>
    </w:lvl>
    <w:lvl w:ilvl="6" w:tplc="A5F099C8" w:tentative="1">
      <w:start w:val="1"/>
      <w:numFmt w:val="bullet"/>
      <w:lvlText w:val="•"/>
      <w:lvlJc w:val="left"/>
      <w:pPr>
        <w:tabs>
          <w:tab w:val="num" w:pos="4680"/>
        </w:tabs>
        <w:ind w:left="4680" w:hanging="360"/>
      </w:pPr>
      <w:rPr>
        <w:rFonts w:ascii="Arial" w:hAnsi="Arial" w:hint="default"/>
      </w:rPr>
    </w:lvl>
    <w:lvl w:ilvl="7" w:tplc="0D2A6C7E" w:tentative="1">
      <w:start w:val="1"/>
      <w:numFmt w:val="bullet"/>
      <w:lvlText w:val="•"/>
      <w:lvlJc w:val="left"/>
      <w:pPr>
        <w:tabs>
          <w:tab w:val="num" w:pos="5400"/>
        </w:tabs>
        <w:ind w:left="5400" w:hanging="360"/>
      </w:pPr>
      <w:rPr>
        <w:rFonts w:ascii="Arial" w:hAnsi="Arial" w:hint="default"/>
      </w:rPr>
    </w:lvl>
    <w:lvl w:ilvl="8" w:tplc="ACB650A0"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32CA1F0A"/>
    <w:multiLevelType w:val="hybridMultilevel"/>
    <w:tmpl w:val="BB5E79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2F92B60"/>
    <w:multiLevelType w:val="hybridMultilevel"/>
    <w:tmpl w:val="7DBAE566"/>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4" w15:restartNumberingAfterBreak="0">
    <w:nsid w:val="33B200D7"/>
    <w:multiLevelType w:val="hybridMultilevel"/>
    <w:tmpl w:val="53CABF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340E482F"/>
    <w:multiLevelType w:val="hybridMultilevel"/>
    <w:tmpl w:val="0E1CBC56"/>
    <w:lvl w:ilvl="0" w:tplc="E6AC08EA">
      <w:start w:val="1"/>
      <w:numFmt w:val="bullet"/>
      <w:lvlText w:val="•"/>
      <w:lvlJc w:val="left"/>
      <w:pPr>
        <w:tabs>
          <w:tab w:val="num" w:pos="720"/>
        </w:tabs>
        <w:ind w:left="720" w:hanging="360"/>
      </w:pPr>
      <w:rPr>
        <w:rFonts w:ascii="Arial" w:hAnsi="Arial" w:hint="default"/>
      </w:rPr>
    </w:lvl>
    <w:lvl w:ilvl="1" w:tplc="56F8BABE">
      <w:numFmt w:val="bullet"/>
      <w:lvlText w:val="•"/>
      <w:lvlJc w:val="left"/>
      <w:pPr>
        <w:tabs>
          <w:tab w:val="num" w:pos="1440"/>
        </w:tabs>
        <w:ind w:left="1440" w:hanging="360"/>
      </w:pPr>
      <w:rPr>
        <w:rFonts w:ascii="Arial" w:hAnsi="Arial" w:hint="default"/>
      </w:rPr>
    </w:lvl>
    <w:lvl w:ilvl="2" w:tplc="AFC831E4">
      <w:numFmt w:val="bullet"/>
      <w:lvlText w:val="•"/>
      <w:lvlJc w:val="left"/>
      <w:pPr>
        <w:tabs>
          <w:tab w:val="num" w:pos="2160"/>
        </w:tabs>
        <w:ind w:left="2160" w:hanging="360"/>
      </w:pPr>
      <w:rPr>
        <w:rFonts w:ascii="Arial" w:hAnsi="Arial" w:hint="default"/>
      </w:rPr>
    </w:lvl>
    <w:lvl w:ilvl="3" w:tplc="4838F70A">
      <w:numFmt w:val="bullet"/>
      <w:lvlText w:val="•"/>
      <w:lvlJc w:val="left"/>
      <w:pPr>
        <w:tabs>
          <w:tab w:val="num" w:pos="2880"/>
        </w:tabs>
        <w:ind w:left="2880" w:hanging="360"/>
      </w:pPr>
      <w:rPr>
        <w:rFonts w:ascii="Arial" w:hAnsi="Arial" w:hint="default"/>
      </w:rPr>
    </w:lvl>
    <w:lvl w:ilvl="4" w:tplc="E062AB68" w:tentative="1">
      <w:start w:val="1"/>
      <w:numFmt w:val="bullet"/>
      <w:lvlText w:val="•"/>
      <w:lvlJc w:val="left"/>
      <w:pPr>
        <w:tabs>
          <w:tab w:val="num" w:pos="3600"/>
        </w:tabs>
        <w:ind w:left="3600" w:hanging="360"/>
      </w:pPr>
      <w:rPr>
        <w:rFonts w:ascii="Arial" w:hAnsi="Arial" w:hint="default"/>
      </w:rPr>
    </w:lvl>
    <w:lvl w:ilvl="5" w:tplc="2E1AEBEE" w:tentative="1">
      <w:start w:val="1"/>
      <w:numFmt w:val="bullet"/>
      <w:lvlText w:val="•"/>
      <w:lvlJc w:val="left"/>
      <w:pPr>
        <w:tabs>
          <w:tab w:val="num" w:pos="4320"/>
        </w:tabs>
        <w:ind w:left="4320" w:hanging="360"/>
      </w:pPr>
      <w:rPr>
        <w:rFonts w:ascii="Arial" w:hAnsi="Arial" w:hint="default"/>
      </w:rPr>
    </w:lvl>
    <w:lvl w:ilvl="6" w:tplc="A3B85062" w:tentative="1">
      <w:start w:val="1"/>
      <w:numFmt w:val="bullet"/>
      <w:lvlText w:val="•"/>
      <w:lvlJc w:val="left"/>
      <w:pPr>
        <w:tabs>
          <w:tab w:val="num" w:pos="5040"/>
        </w:tabs>
        <w:ind w:left="5040" w:hanging="360"/>
      </w:pPr>
      <w:rPr>
        <w:rFonts w:ascii="Arial" w:hAnsi="Arial" w:hint="default"/>
      </w:rPr>
    </w:lvl>
    <w:lvl w:ilvl="7" w:tplc="45C4F040" w:tentative="1">
      <w:start w:val="1"/>
      <w:numFmt w:val="bullet"/>
      <w:lvlText w:val="•"/>
      <w:lvlJc w:val="left"/>
      <w:pPr>
        <w:tabs>
          <w:tab w:val="num" w:pos="5760"/>
        </w:tabs>
        <w:ind w:left="5760" w:hanging="360"/>
      </w:pPr>
      <w:rPr>
        <w:rFonts w:ascii="Arial" w:hAnsi="Arial" w:hint="default"/>
      </w:rPr>
    </w:lvl>
    <w:lvl w:ilvl="8" w:tplc="762034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37B3024D"/>
    <w:multiLevelType w:val="hybridMultilevel"/>
    <w:tmpl w:val="E3469F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690B50"/>
    <w:multiLevelType w:val="hybridMultilevel"/>
    <w:tmpl w:val="DB64454E"/>
    <w:lvl w:ilvl="0" w:tplc="9C12F1A4">
      <w:start w:val="36"/>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9" w15:restartNumberingAfterBreak="0">
    <w:nsid w:val="3B0605E6"/>
    <w:multiLevelType w:val="hybridMultilevel"/>
    <w:tmpl w:val="D5909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1CA2B19"/>
    <w:multiLevelType w:val="hybridMultilevel"/>
    <w:tmpl w:val="BFCEF0AC"/>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21E2CEA"/>
    <w:multiLevelType w:val="hybridMultilevel"/>
    <w:tmpl w:val="6D0E21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E318FB"/>
    <w:multiLevelType w:val="hybridMultilevel"/>
    <w:tmpl w:val="22AECC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23D439A"/>
    <w:multiLevelType w:val="hybridMultilevel"/>
    <w:tmpl w:val="FE000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4136BE"/>
    <w:multiLevelType w:val="hybridMultilevel"/>
    <w:tmpl w:val="7FF6A2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AF22B5"/>
    <w:multiLevelType w:val="hybridMultilevel"/>
    <w:tmpl w:val="F49CBC10"/>
    <w:lvl w:ilvl="0" w:tplc="7DC2F8D0">
      <w:start w:val="1"/>
      <w:numFmt w:val="bullet"/>
      <w:lvlText w:val="•"/>
      <w:lvlJc w:val="left"/>
      <w:pPr>
        <w:tabs>
          <w:tab w:val="num" w:pos="1080"/>
        </w:tabs>
        <w:ind w:left="1080" w:hanging="360"/>
      </w:pPr>
      <w:rPr>
        <w:rFonts w:ascii="Arial" w:hAnsi="Arial"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cs="Times New Roman" w:hint="default"/>
      </w:rPr>
    </w:lvl>
    <w:lvl w:ilvl="3" w:tplc="4456056A">
      <w:numFmt w:val="bullet"/>
      <w:lvlText w:val="•"/>
      <w:lvlJc w:val="left"/>
      <w:pPr>
        <w:tabs>
          <w:tab w:val="num" w:pos="3240"/>
        </w:tabs>
        <w:ind w:left="3240" w:hanging="360"/>
      </w:pPr>
      <w:rPr>
        <w:rFonts w:ascii="Arial" w:hAnsi="Arial" w:cs="Times New Roman" w:hint="default"/>
      </w:rPr>
    </w:lvl>
    <w:lvl w:ilvl="4" w:tplc="1C22A16A">
      <w:start w:val="1"/>
      <w:numFmt w:val="bullet"/>
      <w:lvlText w:val="•"/>
      <w:lvlJc w:val="left"/>
      <w:pPr>
        <w:tabs>
          <w:tab w:val="num" w:pos="3960"/>
        </w:tabs>
        <w:ind w:left="3960" w:hanging="360"/>
      </w:pPr>
      <w:rPr>
        <w:rFonts w:ascii="Arial" w:hAnsi="Arial" w:cs="Times New Roman" w:hint="default"/>
      </w:rPr>
    </w:lvl>
    <w:lvl w:ilvl="5" w:tplc="D6CA8230">
      <w:start w:val="1"/>
      <w:numFmt w:val="bullet"/>
      <w:lvlText w:val="•"/>
      <w:lvlJc w:val="left"/>
      <w:pPr>
        <w:tabs>
          <w:tab w:val="num" w:pos="4680"/>
        </w:tabs>
        <w:ind w:left="4680" w:hanging="360"/>
      </w:pPr>
      <w:rPr>
        <w:rFonts w:ascii="Arial" w:hAnsi="Arial" w:cs="Times New Roman" w:hint="default"/>
      </w:rPr>
    </w:lvl>
    <w:lvl w:ilvl="6" w:tplc="147C5EF2">
      <w:start w:val="1"/>
      <w:numFmt w:val="bullet"/>
      <w:lvlText w:val="•"/>
      <w:lvlJc w:val="left"/>
      <w:pPr>
        <w:tabs>
          <w:tab w:val="num" w:pos="5400"/>
        </w:tabs>
        <w:ind w:left="5400" w:hanging="360"/>
      </w:pPr>
      <w:rPr>
        <w:rFonts w:ascii="Arial" w:hAnsi="Arial" w:cs="Times New Roman" w:hint="default"/>
      </w:rPr>
    </w:lvl>
    <w:lvl w:ilvl="7" w:tplc="FFCCF2C2">
      <w:start w:val="1"/>
      <w:numFmt w:val="bullet"/>
      <w:lvlText w:val="•"/>
      <w:lvlJc w:val="left"/>
      <w:pPr>
        <w:tabs>
          <w:tab w:val="num" w:pos="6120"/>
        </w:tabs>
        <w:ind w:left="6120" w:hanging="360"/>
      </w:pPr>
      <w:rPr>
        <w:rFonts w:ascii="Arial" w:hAnsi="Arial" w:cs="Times New Roman" w:hint="default"/>
      </w:rPr>
    </w:lvl>
    <w:lvl w:ilvl="8" w:tplc="AE2A1292">
      <w:start w:val="1"/>
      <w:numFmt w:val="bullet"/>
      <w:lvlText w:val="•"/>
      <w:lvlJc w:val="left"/>
      <w:pPr>
        <w:tabs>
          <w:tab w:val="num" w:pos="6840"/>
        </w:tabs>
        <w:ind w:left="6840" w:hanging="360"/>
      </w:pPr>
      <w:rPr>
        <w:rFonts w:ascii="Arial" w:hAnsi="Arial" w:cs="Times New Roman" w:hint="default"/>
      </w:rPr>
    </w:lvl>
  </w:abstractNum>
  <w:abstractNum w:abstractNumId="36" w15:restartNumberingAfterBreak="0">
    <w:nsid w:val="5E9C46AC"/>
    <w:multiLevelType w:val="hybridMultilevel"/>
    <w:tmpl w:val="C6EAA406"/>
    <w:lvl w:ilvl="0" w:tplc="77EC3E24">
      <w:start w:val="1"/>
      <w:numFmt w:val="decimal"/>
      <w:lvlText w:val="[%1]"/>
      <w:lvlJc w:val="left"/>
      <w:pPr>
        <w:ind w:left="360" w:hanging="360"/>
      </w:pPr>
      <w:rPr>
        <w:lang w:val="en-G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0404992"/>
    <w:multiLevelType w:val="hybridMultilevel"/>
    <w:tmpl w:val="5DCE2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6C60902"/>
    <w:multiLevelType w:val="hybridMultilevel"/>
    <w:tmpl w:val="0E54FBF2"/>
    <w:lvl w:ilvl="0" w:tplc="16065294">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8B5948"/>
    <w:multiLevelType w:val="hybridMultilevel"/>
    <w:tmpl w:val="09AEC92C"/>
    <w:lvl w:ilvl="0" w:tplc="17EAEB2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934359F"/>
    <w:multiLevelType w:val="hybridMultilevel"/>
    <w:tmpl w:val="A538CA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A2423A2"/>
    <w:multiLevelType w:val="hybridMultilevel"/>
    <w:tmpl w:val="9CE6B672"/>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78330A4E"/>
    <w:multiLevelType w:val="hybridMultilevel"/>
    <w:tmpl w:val="41106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0B7E51"/>
    <w:multiLevelType w:val="hybridMultilevel"/>
    <w:tmpl w:val="668EE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E1007E3"/>
    <w:multiLevelType w:val="hybridMultilevel"/>
    <w:tmpl w:val="99361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3"/>
  </w:num>
  <w:num w:numId="3">
    <w:abstractNumId w:val="28"/>
  </w:num>
  <w:num w:numId="4">
    <w:abstractNumId w:val="23"/>
  </w:num>
  <w:num w:numId="5">
    <w:abstractNumId w:val="8"/>
  </w:num>
  <w:num w:numId="6">
    <w:abstractNumId w:val="19"/>
  </w:num>
  <w:num w:numId="7">
    <w:abstractNumId w:val="16"/>
  </w:num>
  <w:num w:numId="8">
    <w:abstractNumId w:val="22"/>
  </w:num>
  <w:num w:numId="9">
    <w:abstractNumId w:val="7"/>
  </w:num>
  <w:num w:numId="10">
    <w:abstractNumId w:val="43"/>
  </w:num>
  <w:num w:numId="11">
    <w:abstractNumId w:val="6"/>
  </w:num>
  <w:num w:numId="12">
    <w:abstractNumId w:val="25"/>
  </w:num>
  <w:num w:numId="13">
    <w:abstractNumId w:val="21"/>
  </w:num>
  <w:num w:numId="14">
    <w:abstractNumId w:val="11"/>
  </w:num>
  <w:num w:numId="15">
    <w:abstractNumId w:val="10"/>
  </w:num>
  <w:num w:numId="16">
    <w:abstractNumId w:val="5"/>
  </w:num>
  <w:num w:numId="17">
    <w:abstractNumId w:val="27"/>
  </w:num>
  <w:num w:numId="18">
    <w:abstractNumId w:val="12"/>
  </w:num>
  <w:num w:numId="19">
    <w:abstractNumId w:val="41"/>
  </w:num>
  <w:num w:numId="20">
    <w:abstractNumId w:val="15"/>
  </w:num>
  <w:num w:numId="21">
    <w:abstractNumId w:val="37"/>
  </w:num>
  <w:num w:numId="22">
    <w:abstractNumId w:val="4"/>
  </w:num>
  <w:num w:numId="23">
    <w:abstractNumId w:val="40"/>
  </w:num>
  <w:num w:numId="24">
    <w:abstractNumId w:val="17"/>
  </w:num>
  <w:num w:numId="25">
    <w:abstractNumId w:val="34"/>
  </w:num>
  <w:num w:numId="26">
    <w:abstractNumId w:val="24"/>
  </w:num>
  <w:num w:numId="27">
    <w:abstractNumId w:val="9"/>
  </w:num>
  <w:num w:numId="28">
    <w:abstractNumId w:val="39"/>
  </w:num>
  <w:num w:numId="29">
    <w:abstractNumId w:val="31"/>
  </w:num>
  <w:num w:numId="30">
    <w:abstractNumId w:val="0"/>
  </w:num>
  <w:num w:numId="31">
    <w:abstractNumId w:val="1"/>
  </w:num>
  <w:num w:numId="32">
    <w:abstractNumId w:val="38"/>
  </w:num>
  <w:num w:numId="33">
    <w:abstractNumId w:val="14"/>
  </w:num>
  <w:num w:numId="34">
    <w:abstractNumId w:val="32"/>
  </w:num>
  <w:num w:numId="35">
    <w:abstractNumId w:val="33"/>
  </w:num>
  <w:num w:numId="36">
    <w:abstractNumId w:val="13"/>
  </w:num>
  <w:num w:numId="37">
    <w:abstractNumId w:val="36"/>
  </w:num>
  <w:num w:numId="38">
    <w:abstractNumId w:val="35"/>
  </w:num>
  <w:num w:numId="39">
    <w:abstractNumId w:val="30"/>
  </w:num>
  <w:num w:numId="40">
    <w:abstractNumId w:val="44"/>
  </w:num>
  <w:num w:numId="41">
    <w:abstractNumId w:val="20"/>
  </w:num>
  <w:num w:numId="42">
    <w:abstractNumId w:val="29"/>
  </w:num>
  <w:num w:numId="43">
    <w:abstractNumId w:val="2"/>
  </w:num>
  <w:num w:numId="44">
    <w:abstractNumId w:val="42"/>
  </w:num>
  <w:num w:numId="45">
    <w:abstractNumId w:val="2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oNotDisplayPageBoundaries/>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ECA"/>
    <w:rsid w:val="00000F7F"/>
    <w:rsid w:val="00001375"/>
    <w:rsid w:val="00001F79"/>
    <w:rsid w:val="00001FC3"/>
    <w:rsid w:val="000022AF"/>
    <w:rsid w:val="00002375"/>
    <w:rsid w:val="0000270A"/>
    <w:rsid w:val="00002A8E"/>
    <w:rsid w:val="00003131"/>
    <w:rsid w:val="00003227"/>
    <w:rsid w:val="000037FB"/>
    <w:rsid w:val="00003B0E"/>
    <w:rsid w:val="00003EF4"/>
    <w:rsid w:val="0000403F"/>
    <w:rsid w:val="00004885"/>
    <w:rsid w:val="00004D8C"/>
    <w:rsid w:val="00004DCB"/>
    <w:rsid w:val="000051F0"/>
    <w:rsid w:val="0000545A"/>
    <w:rsid w:val="0000553B"/>
    <w:rsid w:val="00005D97"/>
    <w:rsid w:val="000063BC"/>
    <w:rsid w:val="00006780"/>
    <w:rsid w:val="00006C7A"/>
    <w:rsid w:val="000070F5"/>
    <w:rsid w:val="00007495"/>
    <w:rsid w:val="00007749"/>
    <w:rsid w:val="0000792C"/>
    <w:rsid w:val="00007B4B"/>
    <w:rsid w:val="00007D32"/>
    <w:rsid w:val="000101EF"/>
    <w:rsid w:val="00010E97"/>
    <w:rsid w:val="00010FD1"/>
    <w:rsid w:val="0001117C"/>
    <w:rsid w:val="000124D1"/>
    <w:rsid w:val="00012D57"/>
    <w:rsid w:val="0001321B"/>
    <w:rsid w:val="0001369A"/>
    <w:rsid w:val="000137BA"/>
    <w:rsid w:val="00013B63"/>
    <w:rsid w:val="00013F64"/>
    <w:rsid w:val="000141F0"/>
    <w:rsid w:val="00014E0E"/>
    <w:rsid w:val="00015BCB"/>
    <w:rsid w:val="00015CED"/>
    <w:rsid w:val="000162B2"/>
    <w:rsid w:val="00016441"/>
    <w:rsid w:val="0001645D"/>
    <w:rsid w:val="000164BB"/>
    <w:rsid w:val="000167A6"/>
    <w:rsid w:val="00016DCE"/>
    <w:rsid w:val="00017309"/>
    <w:rsid w:val="000178F8"/>
    <w:rsid w:val="0002002A"/>
    <w:rsid w:val="000205C1"/>
    <w:rsid w:val="0002085F"/>
    <w:rsid w:val="000209D8"/>
    <w:rsid w:val="00020D61"/>
    <w:rsid w:val="00021001"/>
    <w:rsid w:val="000210B6"/>
    <w:rsid w:val="0002113C"/>
    <w:rsid w:val="0002130A"/>
    <w:rsid w:val="00021911"/>
    <w:rsid w:val="00021B96"/>
    <w:rsid w:val="00021C67"/>
    <w:rsid w:val="00021DEC"/>
    <w:rsid w:val="00021FE3"/>
    <w:rsid w:val="000221EB"/>
    <w:rsid w:val="000222F7"/>
    <w:rsid w:val="000233F4"/>
    <w:rsid w:val="00023C29"/>
    <w:rsid w:val="00024D64"/>
    <w:rsid w:val="00024E37"/>
    <w:rsid w:val="0002506A"/>
    <w:rsid w:val="000255A1"/>
    <w:rsid w:val="000258DD"/>
    <w:rsid w:val="0002591B"/>
    <w:rsid w:val="000266AE"/>
    <w:rsid w:val="00026905"/>
    <w:rsid w:val="00026977"/>
    <w:rsid w:val="00026B7D"/>
    <w:rsid w:val="00026C64"/>
    <w:rsid w:val="00026EF9"/>
    <w:rsid w:val="00027333"/>
    <w:rsid w:val="000273DF"/>
    <w:rsid w:val="000300FE"/>
    <w:rsid w:val="00030619"/>
    <w:rsid w:val="000307C6"/>
    <w:rsid w:val="00030F74"/>
    <w:rsid w:val="00030F85"/>
    <w:rsid w:val="000312B4"/>
    <w:rsid w:val="0003134F"/>
    <w:rsid w:val="000317B2"/>
    <w:rsid w:val="00031DBF"/>
    <w:rsid w:val="00031EDD"/>
    <w:rsid w:val="000321DC"/>
    <w:rsid w:val="000325EF"/>
    <w:rsid w:val="00032A0C"/>
    <w:rsid w:val="00033EB8"/>
    <w:rsid w:val="00034882"/>
    <w:rsid w:val="000349B7"/>
    <w:rsid w:val="0003540B"/>
    <w:rsid w:val="00035574"/>
    <w:rsid w:val="00035D1F"/>
    <w:rsid w:val="00036199"/>
    <w:rsid w:val="000365A2"/>
    <w:rsid w:val="0003698E"/>
    <w:rsid w:val="00036C45"/>
    <w:rsid w:val="00036FA7"/>
    <w:rsid w:val="000370B4"/>
    <w:rsid w:val="0003723F"/>
    <w:rsid w:val="000372BF"/>
    <w:rsid w:val="000377E3"/>
    <w:rsid w:val="00037A21"/>
    <w:rsid w:val="00037C2D"/>
    <w:rsid w:val="000402B6"/>
    <w:rsid w:val="0004032C"/>
    <w:rsid w:val="000404F2"/>
    <w:rsid w:val="00040AAD"/>
    <w:rsid w:val="00040C15"/>
    <w:rsid w:val="000413B8"/>
    <w:rsid w:val="000416DE"/>
    <w:rsid w:val="0004182E"/>
    <w:rsid w:val="000418C8"/>
    <w:rsid w:val="0004198E"/>
    <w:rsid w:val="00041B22"/>
    <w:rsid w:val="00041D52"/>
    <w:rsid w:val="00041EC3"/>
    <w:rsid w:val="000421F3"/>
    <w:rsid w:val="00042BFC"/>
    <w:rsid w:val="000430CF"/>
    <w:rsid w:val="00043266"/>
    <w:rsid w:val="00043407"/>
    <w:rsid w:val="00043703"/>
    <w:rsid w:val="00044225"/>
    <w:rsid w:val="00044576"/>
    <w:rsid w:val="00044872"/>
    <w:rsid w:val="00044F4F"/>
    <w:rsid w:val="00044FC4"/>
    <w:rsid w:val="000451E5"/>
    <w:rsid w:val="00045378"/>
    <w:rsid w:val="000453F6"/>
    <w:rsid w:val="00045A54"/>
    <w:rsid w:val="00046CD6"/>
    <w:rsid w:val="00046CE4"/>
    <w:rsid w:val="00046E6F"/>
    <w:rsid w:val="00046F9A"/>
    <w:rsid w:val="000472F3"/>
    <w:rsid w:val="000477BB"/>
    <w:rsid w:val="00047A82"/>
    <w:rsid w:val="00047B11"/>
    <w:rsid w:val="00050335"/>
    <w:rsid w:val="0005055B"/>
    <w:rsid w:val="000505E0"/>
    <w:rsid w:val="00051135"/>
    <w:rsid w:val="000515F7"/>
    <w:rsid w:val="00051D3D"/>
    <w:rsid w:val="0005201C"/>
    <w:rsid w:val="0005241E"/>
    <w:rsid w:val="0005291A"/>
    <w:rsid w:val="00052AE3"/>
    <w:rsid w:val="000531A8"/>
    <w:rsid w:val="000532C1"/>
    <w:rsid w:val="00053849"/>
    <w:rsid w:val="00053A47"/>
    <w:rsid w:val="0005456E"/>
    <w:rsid w:val="00054ACE"/>
    <w:rsid w:val="00054AE4"/>
    <w:rsid w:val="00054B6B"/>
    <w:rsid w:val="00054DAB"/>
    <w:rsid w:val="0005504C"/>
    <w:rsid w:val="00055873"/>
    <w:rsid w:val="00055B8E"/>
    <w:rsid w:val="0005602E"/>
    <w:rsid w:val="00056057"/>
    <w:rsid w:val="000572A7"/>
    <w:rsid w:val="00057388"/>
    <w:rsid w:val="00057DF9"/>
    <w:rsid w:val="00057F68"/>
    <w:rsid w:val="00057F6C"/>
    <w:rsid w:val="00060586"/>
    <w:rsid w:val="0006090A"/>
    <w:rsid w:val="00060FDB"/>
    <w:rsid w:val="000612C5"/>
    <w:rsid w:val="000613C1"/>
    <w:rsid w:val="000616E1"/>
    <w:rsid w:val="00061BDC"/>
    <w:rsid w:val="00061D2A"/>
    <w:rsid w:val="00061D56"/>
    <w:rsid w:val="000621A9"/>
    <w:rsid w:val="0006263A"/>
    <w:rsid w:val="00062D9A"/>
    <w:rsid w:val="000630FB"/>
    <w:rsid w:val="000631CE"/>
    <w:rsid w:val="00063485"/>
    <w:rsid w:val="00063F57"/>
    <w:rsid w:val="0006480B"/>
    <w:rsid w:val="00064A2B"/>
    <w:rsid w:val="00064B46"/>
    <w:rsid w:val="00065016"/>
    <w:rsid w:val="00065031"/>
    <w:rsid w:val="00065033"/>
    <w:rsid w:val="000653AD"/>
    <w:rsid w:val="00065439"/>
    <w:rsid w:val="0006549C"/>
    <w:rsid w:val="000659DD"/>
    <w:rsid w:val="00065D64"/>
    <w:rsid w:val="00065E39"/>
    <w:rsid w:val="000667D1"/>
    <w:rsid w:val="000669DA"/>
    <w:rsid w:val="00067087"/>
    <w:rsid w:val="0006721A"/>
    <w:rsid w:val="0006739D"/>
    <w:rsid w:val="0006777C"/>
    <w:rsid w:val="00067CA8"/>
    <w:rsid w:val="00067FE2"/>
    <w:rsid w:val="00070192"/>
    <w:rsid w:val="00070A9A"/>
    <w:rsid w:val="00070FC3"/>
    <w:rsid w:val="0007118F"/>
    <w:rsid w:val="0007162A"/>
    <w:rsid w:val="000716FB"/>
    <w:rsid w:val="00071740"/>
    <w:rsid w:val="00072A48"/>
    <w:rsid w:val="00072E75"/>
    <w:rsid w:val="00072EFA"/>
    <w:rsid w:val="00072FF7"/>
    <w:rsid w:val="000731C7"/>
    <w:rsid w:val="0007337F"/>
    <w:rsid w:val="0007368E"/>
    <w:rsid w:val="00073785"/>
    <w:rsid w:val="00073974"/>
    <w:rsid w:val="000741B3"/>
    <w:rsid w:val="00074375"/>
    <w:rsid w:val="000743A0"/>
    <w:rsid w:val="00074A9E"/>
    <w:rsid w:val="00074BF5"/>
    <w:rsid w:val="000752CD"/>
    <w:rsid w:val="00075680"/>
    <w:rsid w:val="00075999"/>
    <w:rsid w:val="00075AB6"/>
    <w:rsid w:val="00076408"/>
    <w:rsid w:val="0007661E"/>
    <w:rsid w:val="00077073"/>
    <w:rsid w:val="0007796D"/>
    <w:rsid w:val="0008022A"/>
    <w:rsid w:val="00080418"/>
    <w:rsid w:val="000805B2"/>
    <w:rsid w:val="00080D74"/>
    <w:rsid w:val="00080FA6"/>
    <w:rsid w:val="00081383"/>
    <w:rsid w:val="000822AD"/>
    <w:rsid w:val="000826FF"/>
    <w:rsid w:val="00082A49"/>
    <w:rsid w:val="00082C90"/>
    <w:rsid w:val="000832D0"/>
    <w:rsid w:val="00083322"/>
    <w:rsid w:val="0008399B"/>
    <w:rsid w:val="00083ABE"/>
    <w:rsid w:val="00083DB2"/>
    <w:rsid w:val="00084255"/>
    <w:rsid w:val="00085239"/>
    <w:rsid w:val="000855A3"/>
    <w:rsid w:val="00085F08"/>
    <w:rsid w:val="00086210"/>
    <w:rsid w:val="000862BA"/>
    <w:rsid w:val="000862F6"/>
    <w:rsid w:val="00086B50"/>
    <w:rsid w:val="00086C4D"/>
    <w:rsid w:val="0008760B"/>
    <w:rsid w:val="0008782D"/>
    <w:rsid w:val="00087E29"/>
    <w:rsid w:val="0009037D"/>
    <w:rsid w:val="00090394"/>
    <w:rsid w:val="00090573"/>
    <w:rsid w:val="00090779"/>
    <w:rsid w:val="000915CE"/>
    <w:rsid w:val="00091ADD"/>
    <w:rsid w:val="000921E3"/>
    <w:rsid w:val="00092A3D"/>
    <w:rsid w:val="00092D01"/>
    <w:rsid w:val="000931C3"/>
    <w:rsid w:val="00093566"/>
    <w:rsid w:val="00093F75"/>
    <w:rsid w:val="0009437A"/>
    <w:rsid w:val="000947B7"/>
    <w:rsid w:val="0009512D"/>
    <w:rsid w:val="00095468"/>
    <w:rsid w:val="000954C6"/>
    <w:rsid w:val="00095671"/>
    <w:rsid w:val="000956BC"/>
    <w:rsid w:val="000957FF"/>
    <w:rsid w:val="00095920"/>
    <w:rsid w:val="00095F53"/>
    <w:rsid w:val="0009653B"/>
    <w:rsid w:val="000968D8"/>
    <w:rsid w:val="0009709B"/>
    <w:rsid w:val="000970D0"/>
    <w:rsid w:val="0009720E"/>
    <w:rsid w:val="000979F0"/>
    <w:rsid w:val="00097AE8"/>
    <w:rsid w:val="000A02DC"/>
    <w:rsid w:val="000A09A2"/>
    <w:rsid w:val="000A0CA1"/>
    <w:rsid w:val="000A0E99"/>
    <w:rsid w:val="000A1AD3"/>
    <w:rsid w:val="000A1D49"/>
    <w:rsid w:val="000A23E5"/>
    <w:rsid w:val="000A26E4"/>
    <w:rsid w:val="000A2D70"/>
    <w:rsid w:val="000A31F7"/>
    <w:rsid w:val="000A3ACB"/>
    <w:rsid w:val="000A3C82"/>
    <w:rsid w:val="000A49DE"/>
    <w:rsid w:val="000A4B74"/>
    <w:rsid w:val="000A4FEA"/>
    <w:rsid w:val="000A52F5"/>
    <w:rsid w:val="000A54DF"/>
    <w:rsid w:val="000A61CB"/>
    <w:rsid w:val="000A6252"/>
    <w:rsid w:val="000A64D8"/>
    <w:rsid w:val="000A6723"/>
    <w:rsid w:val="000A6788"/>
    <w:rsid w:val="000A68A9"/>
    <w:rsid w:val="000A6AC6"/>
    <w:rsid w:val="000A6CFE"/>
    <w:rsid w:val="000A6F12"/>
    <w:rsid w:val="000A7C88"/>
    <w:rsid w:val="000B02C2"/>
    <w:rsid w:val="000B081C"/>
    <w:rsid w:val="000B09AC"/>
    <w:rsid w:val="000B0E8D"/>
    <w:rsid w:val="000B10AB"/>
    <w:rsid w:val="000B10E2"/>
    <w:rsid w:val="000B130E"/>
    <w:rsid w:val="000B19F8"/>
    <w:rsid w:val="000B1CD3"/>
    <w:rsid w:val="000B256B"/>
    <w:rsid w:val="000B32D4"/>
    <w:rsid w:val="000B38DA"/>
    <w:rsid w:val="000B3F37"/>
    <w:rsid w:val="000B4788"/>
    <w:rsid w:val="000B49D7"/>
    <w:rsid w:val="000B546F"/>
    <w:rsid w:val="000B6030"/>
    <w:rsid w:val="000B63BC"/>
    <w:rsid w:val="000B65BE"/>
    <w:rsid w:val="000B6BDF"/>
    <w:rsid w:val="000B71B6"/>
    <w:rsid w:val="000B7B2B"/>
    <w:rsid w:val="000B7D5E"/>
    <w:rsid w:val="000C133A"/>
    <w:rsid w:val="000C1545"/>
    <w:rsid w:val="000C1DBD"/>
    <w:rsid w:val="000C2052"/>
    <w:rsid w:val="000C22A8"/>
    <w:rsid w:val="000C240A"/>
    <w:rsid w:val="000C2DE1"/>
    <w:rsid w:val="000C2E7E"/>
    <w:rsid w:val="000C393F"/>
    <w:rsid w:val="000C4065"/>
    <w:rsid w:val="000C4137"/>
    <w:rsid w:val="000C4493"/>
    <w:rsid w:val="000C4538"/>
    <w:rsid w:val="000C4C76"/>
    <w:rsid w:val="000C5759"/>
    <w:rsid w:val="000C5D34"/>
    <w:rsid w:val="000C5E7D"/>
    <w:rsid w:val="000C673C"/>
    <w:rsid w:val="000C69F8"/>
    <w:rsid w:val="000C6A01"/>
    <w:rsid w:val="000C71D9"/>
    <w:rsid w:val="000D0153"/>
    <w:rsid w:val="000D037E"/>
    <w:rsid w:val="000D0A0F"/>
    <w:rsid w:val="000D0AB8"/>
    <w:rsid w:val="000D0B71"/>
    <w:rsid w:val="000D0BCC"/>
    <w:rsid w:val="000D0F9A"/>
    <w:rsid w:val="000D10A8"/>
    <w:rsid w:val="000D148D"/>
    <w:rsid w:val="000D14EB"/>
    <w:rsid w:val="000D1610"/>
    <w:rsid w:val="000D206C"/>
    <w:rsid w:val="000D2185"/>
    <w:rsid w:val="000D2AE0"/>
    <w:rsid w:val="000D2CDA"/>
    <w:rsid w:val="000D362A"/>
    <w:rsid w:val="000D36AC"/>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E27"/>
    <w:rsid w:val="000D6E96"/>
    <w:rsid w:val="000D7268"/>
    <w:rsid w:val="000D7783"/>
    <w:rsid w:val="000E011D"/>
    <w:rsid w:val="000E03CF"/>
    <w:rsid w:val="000E0D89"/>
    <w:rsid w:val="000E1003"/>
    <w:rsid w:val="000E14B9"/>
    <w:rsid w:val="000E182B"/>
    <w:rsid w:val="000E1E8E"/>
    <w:rsid w:val="000E2787"/>
    <w:rsid w:val="000E279B"/>
    <w:rsid w:val="000E2D36"/>
    <w:rsid w:val="000E3075"/>
    <w:rsid w:val="000E331F"/>
    <w:rsid w:val="000E3358"/>
    <w:rsid w:val="000E38ED"/>
    <w:rsid w:val="000E3F84"/>
    <w:rsid w:val="000E40C3"/>
    <w:rsid w:val="000E4C9B"/>
    <w:rsid w:val="000E4D01"/>
    <w:rsid w:val="000E502E"/>
    <w:rsid w:val="000E5830"/>
    <w:rsid w:val="000E5C4E"/>
    <w:rsid w:val="000E5CA5"/>
    <w:rsid w:val="000E5E3A"/>
    <w:rsid w:val="000E6576"/>
    <w:rsid w:val="000E65A7"/>
    <w:rsid w:val="000E6635"/>
    <w:rsid w:val="000E6BAF"/>
    <w:rsid w:val="000E6EED"/>
    <w:rsid w:val="000E6F62"/>
    <w:rsid w:val="000E7F51"/>
    <w:rsid w:val="000F00D8"/>
    <w:rsid w:val="000F095B"/>
    <w:rsid w:val="000F13C4"/>
    <w:rsid w:val="000F13D7"/>
    <w:rsid w:val="000F17E4"/>
    <w:rsid w:val="000F1878"/>
    <w:rsid w:val="000F1A06"/>
    <w:rsid w:val="000F1CF3"/>
    <w:rsid w:val="000F1F98"/>
    <w:rsid w:val="000F20CD"/>
    <w:rsid w:val="000F2965"/>
    <w:rsid w:val="000F34C7"/>
    <w:rsid w:val="000F3B40"/>
    <w:rsid w:val="000F3F2F"/>
    <w:rsid w:val="000F42EA"/>
    <w:rsid w:val="000F4C0A"/>
    <w:rsid w:val="000F4CAF"/>
    <w:rsid w:val="000F4D2F"/>
    <w:rsid w:val="000F4F44"/>
    <w:rsid w:val="000F53CB"/>
    <w:rsid w:val="000F6799"/>
    <w:rsid w:val="000F6881"/>
    <w:rsid w:val="000F6C32"/>
    <w:rsid w:val="000F6CB0"/>
    <w:rsid w:val="000F6D86"/>
    <w:rsid w:val="000F7CAD"/>
    <w:rsid w:val="000F7D65"/>
    <w:rsid w:val="00100097"/>
    <w:rsid w:val="001000E9"/>
    <w:rsid w:val="00100161"/>
    <w:rsid w:val="00100169"/>
    <w:rsid w:val="0010067A"/>
    <w:rsid w:val="001009BB"/>
    <w:rsid w:val="001010D7"/>
    <w:rsid w:val="0010129F"/>
    <w:rsid w:val="00101489"/>
    <w:rsid w:val="001017C8"/>
    <w:rsid w:val="00101A0E"/>
    <w:rsid w:val="00101ACE"/>
    <w:rsid w:val="00101D6C"/>
    <w:rsid w:val="00102147"/>
    <w:rsid w:val="001021DD"/>
    <w:rsid w:val="001021F1"/>
    <w:rsid w:val="00102366"/>
    <w:rsid w:val="00102A33"/>
    <w:rsid w:val="00102E56"/>
    <w:rsid w:val="00103658"/>
    <w:rsid w:val="0010366C"/>
    <w:rsid w:val="00103ECB"/>
    <w:rsid w:val="00104058"/>
    <w:rsid w:val="0010405D"/>
    <w:rsid w:val="00104228"/>
    <w:rsid w:val="00104979"/>
    <w:rsid w:val="00104A80"/>
    <w:rsid w:val="001050B7"/>
    <w:rsid w:val="001050F9"/>
    <w:rsid w:val="0010521E"/>
    <w:rsid w:val="0010568A"/>
    <w:rsid w:val="001056C5"/>
    <w:rsid w:val="00105820"/>
    <w:rsid w:val="00105CEE"/>
    <w:rsid w:val="00105DA1"/>
    <w:rsid w:val="00105EFB"/>
    <w:rsid w:val="0010660E"/>
    <w:rsid w:val="00106A95"/>
    <w:rsid w:val="00106C39"/>
    <w:rsid w:val="00106CC3"/>
    <w:rsid w:val="00106E7E"/>
    <w:rsid w:val="00106FF1"/>
    <w:rsid w:val="00107423"/>
    <w:rsid w:val="0010795D"/>
    <w:rsid w:val="0011034F"/>
    <w:rsid w:val="0011036F"/>
    <w:rsid w:val="00110851"/>
    <w:rsid w:val="00111494"/>
    <w:rsid w:val="001115C0"/>
    <w:rsid w:val="001115F4"/>
    <w:rsid w:val="001116D2"/>
    <w:rsid w:val="0011190B"/>
    <w:rsid w:val="00111AD9"/>
    <w:rsid w:val="0011211D"/>
    <w:rsid w:val="0011230B"/>
    <w:rsid w:val="001126ED"/>
    <w:rsid w:val="00112975"/>
    <w:rsid w:val="00112B8F"/>
    <w:rsid w:val="001134DA"/>
    <w:rsid w:val="0011372B"/>
    <w:rsid w:val="00113BC7"/>
    <w:rsid w:val="00113D8F"/>
    <w:rsid w:val="001140FA"/>
    <w:rsid w:val="001141CF"/>
    <w:rsid w:val="00114379"/>
    <w:rsid w:val="001146A3"/>
    <w:rsid w:val="001146C6"/>
    <w:rsid w:val="001147B8"/>
    <w:rsid w:val="00114949"/>
    <w:rsid w:val="00114E61"/>
    <w:rsid w:val="00114EA7"/>
    <w:rsid w:val="0011536C"/>
    <w:rsid w:val="00115716"/>
    <w:rsid w:val="0011584C"/>
    <w:rsid w:val="001158D5"/>
    <w:rsid w:val="0011602A"/>
    <w:rsid w:val="00116339"/>
    <w:rsid w:val="00116A2D"/>
    <w:rsid w:val="001175EF"/>
    <w:rsid w:val="00117677"/>
    <w:rsid w:val="00117957"/>
    <w:rsid w:val="00117C78"/>
    <w:rsid w:val="001201EA"/>
    <w:rsid w:val="001203DB"/>
    <w:rsid w:val="0012079F"/>
    <w:rsid w:val="001207F3"/>
    <w:rsid w:val="00120C13"/>
    <w:rsid w:val="00121769"/>
    <w:rsid w:val="00121E1A"/>
    <w:rsid w:val="00122727"/>
    <w:rsid w:val="00122842"/>
    <w:rsid w:val="001232D2"/>
    <w:rsid w:val="0012345C"/>
    <w:rsid w:val="00123486"/>
    <w:rsid w:val="00123975"/>
    <w:rsid w:val="00123DED"/>
    <w:rsid w:val="00124033"/>
    <w:rsid w:val="0012467D"/>
    <w:rsid w:val="001246EC"/>
    <w:rsid w:val="001249D7"/>
    <w:rsid w:val="001249FC"/>
    <w:rsid w:val="00124E10"/>
    <w:rsid w:val="00125078"/>
    <w:rsid w:val="0012523E"/>
    <w:rsid w:val="001252FE"/>
    <w:rsid w:val="001255A6"/>
    <w:rsid w:val="00125D34"/>
    <w:rsid w:val="0012636F"/>
    <w:rsid w:val="001268D1"/>
    <w:rsid w:val="001274AC"/>
    <w:rsid w:val="001275E6"/>
    <w:rsid w:val="00127DE2"/>
    <w:rsid w:val="00127F28"/>
    <w:rsid w:val="0013016D"/>
    <w:rsid w:val="00130714"/>
    <w:rsid w:val="00130953"/>
    <w:rsid w:val="00130BBD"/>
    <w:rsid w:val="00131683"/>
    <w:rsid w:val="00131AC6"/>
    <w:rsid w:val="001321CE"/>
    <w:rsid w:val="001322B0"/>
    <w:rsid w:val="00132671"/>
    <w:rsid w:val="00132767"/>
    <w:rsid w:val="00132917"/>
    <w:rsid w:val="00132E89"/>
    <w:rsid w:val="0013327F"/>
    <w:rsid w:val="0013334C"/>
    <w:rsid w:val="00133EBD"/>
    <w:rsid w:val="00134B15"/>
    <w:rsid w:val="00135015"/>
    <w:rsid w:val="00135095"/>
    <w:rsid w:val="00135517"/>
    <w:rsid w:val="00135829"/>
    <w:rsid w:val="00135884"/>
    <w:rsid w:val="001358A7"/>
    <w:rsid w:val="001358F4"/>
    <w:rsid w:val="0013612A"/>
    <w:rsid w:val="00136998"/>
    <w:rsid w:val="00136AAD"/>
    <w:rsid w:val="00136EED"/>
    <w:rsid w:val="00137280"/>
    <w:rsid w:val="00137288"/>
    <w:rsid w:val="00137480"/>
    <w:rsid w:val="001375B9"/>
    <w:rsid w:val="001376F7"/>
    <w:rsid w:val="00137EA0"/>
    <w:rsid w:val="00140608"/>
    <w:rsid w:val="0014073C"/>
    <w:rsid w:val="00140762"/>
    <w:rsid w:val="00140825"/>
    <w:rsid w:val="0014086C"/>
    <w:rsid w:val="00140E5E"/>
    <w:rsid w:val="001410AA"/>
    <w:rsid w:val="001410F1"/>
    <w:rsid w:val="001418FE"/>
    <w:rsid w:val="00141E46"/>
    <w:rsid w:val="00141ED1"/>
    <w:rsid w:val="00141F72"/>
    <w:rsid w:val="0014206B"/>
    <w:rsid w:val="00142093"/>
    <w:rsid w:val="00142E42"/>
    <w:rsid w:val="00142F73"/>
    <w:rsid w:val="00143153"/>
    <w:rsid w:val="0014371C"/>
    <w:rsid w:val="00143EFE"/>
    <w:rsid w:val="00143FFE"/>
    <w:rsid w:val="00144134"/>
    <w:rsid w:val="0014471E"/>
    <w:rsid w:val="0014491B"/>
    <w:rsid w:val="00144B3F"/>
    <w:rsid w:val="00144D67"/>
    <w:rsid w:val="00144E04"/>
    <w:rsid w:val="001454C4"/>
    <w:rsid w:val="001462D7"/>
    <w:rsid w:val="00146577"/>
    <w:rsid w:val="00146773"/>
    <w:rsid w:val="0014703E"/>
    <w:rsid w:val="00147679"/>
    <w:rsid w:val="00147D65"/>
    <w:rsid w:val="00147D91"/>
    <w:rsid w:val="001508E1"/>
    <w:rsid w:val="001510ED"/>
    <w:rsid w:val="001516D9"/>
    <w:rsid w:val="001517AB"/>
    <w:rsid w:val="00151805"/>
    <w:rsid w:val="00151897"/>
    <w:rsid w:val="00152066"/>
    <w:rsid w:val="001522B3"/>
    <w:rsid w:val="00152559"/>
    <w:rsid w:val="00152744"/>
    <w:rsid w:val="00152A3B"/>
    <w:rsid w:val="0015347E"/>
    <w:rsid w:val="00153A48"/>
    <w:rsid w:val="00153A6B"/>
    <w:rsid w:val="00153E69"/>
    <w:rsid w:val="00153EEF"/>
    <w:rsid w:val="00153F29"/>
    <w:rsid w:val="001544AB"/>
    <w:rsid w:val="00154F0D"/>
    <w:rsid w:val="00155178"/>
    <w:rsid w:val="0015554F"/>
    <w:rsid w:val="00155D53"/>
    <w:rsid w:val="0015622B"/>
    <w:rsid w:val="00156260"/>
    <w:rsid w:val="00156284"/>
    <w:rsid w:val="00156502"/>
    <w:rsid w:val="001565C4"/>
    <w:rsid w:val="00156615"/>
    <w:rsid w:val="0016019C"/>
    <w:rsid w:val="001601C7"/>
    <w:rsid w:val="001602C2"/>
    <w:rsid w:val="001603B9"/>
    <w:rsid w:val="00160452"/>
    <w:rsid w:val="00160674"/>
    <w:rsid w:val="00160786"/>
    <w:rsid w:val="00162262"/>
    <w:rsid w:val="001623A3"/>
    <w:rsid w:val="00162BD5"/>
    <w:rsid w:val="00162CF1"/>
    <w:rsid w:val="00162F82"/>
    <w:rsid w:val="001630E4"/>
    <w:rsid w:val="0016368F"/>
    <w:rsid w:val="001639BC"/>
    <w:rsid w:val="00163AFC"/>
    <w:rsid w:val="00163B00"/>
    <w:rsid w:val="00163C9A"/>
    <w:rsid w:val="00164646"/>
    <w:rsid w:val="001647FA"/>
    <w:rsid w:val="00165137"/>
    <w:rsid w:val="001652DD"/>
    <w:rsid w:val="00165A42"/>
    <w:rsid w:val="00165D2D"/>
    <w:rsid w:val="00165D9A"/>
    <w:rsid w:val="0016634F"/>
    <w:rsid w:val="001665D2"/>
    <w:rsid w:val="00166809"/>
    <w:rsid w:val="00166879"/>
    <w:rsid w:val="001669F9"/>
    <w:rsid w:val="00166D9E"/>
    <w:rsid w:val="00166EE2"/>
    <w:rsid w:val="00166F5E"/>
    <w:rsid w:val="0016700E"/>
    <w:rsid w:val="00167125"/>
    <w:rsid w:val="0016733C"/>
    <w:rsid w:val="0016764C"/>
    <w:rsid w:val="001678E1"/>
    <w:rsid w:val="00167ACD"/>
    <w:rsid w:val="00170397"/>
    <w:rsid w:val="00170482"/>
    <w:rsid w:val="001706E4"/>
    <w:rsid w:val="001708D0"/>
    <w:rsid w:val="00170E05"/>
    <w:rsid w:val="00170EA1"/>
    <w:rsid w:val="00171661"/>
    <w:rsid w:val="00171876"/>
    <w:rsid w:val="00171B5E"/>
    <w:rsid w:val="00171BC2"/>
    <w:rsid w:val="00171D7E"/>
    <w:rsid w:val="00171F14"/>
    <w:rsid w:val="00172261"/>
    <w:rsid w:val="001729E1"/>
    <w:rsid w:val="00172B61"/>
    <w:rsid w:val="00172C20"/>
    <w:rsid w:val="001738A5"/>
    <w:rsid w:val="00173A00"/>
    <w:rsid w:val="00173D38"/>
    <w:rsid w:val="001742A6"/>
    <w:rsid w:val="00174DDB"/>
    <w:rsid w:val="00175009"/>
    <w:rsid w:val="001752EC"/>
    <w:rsid w:val="00175A6E"/>
    <w:rsid w:val="00175B5A"/>
    <w:rsid w:val="00175EF2"/>
    <w:rsid w:val="00176414"/>
    <w:rsid w:val="00176BDB"/>
    <w:rsid w:val="0017714C"/>
    <w:rsid w:val="0017722E"/>
    <w:rsid w:val="00177447"/>
    <w:rsid w:val="00177482"/>
    <w:rsid w:val="00177711"/>
    <w:rsid w:val="00177A0D"/>
    <w:rsid w:val="00177AC2"/>
    <w:rsid w:val="00177DFF"/>
    <w:rsid w:val="00177EBD"/>
    <w:rsid w:val="0018016C"/>
    <w:rsid w:val="001806A9"/>
    <w:rsid w:val="00180860"/>
    <w:rsid w:val="00180D96"/>
    <w:rsid w:val="00180E60"/>
    <w:rsid w:val="001817BA"/>
    <w:rsid w:val="00181B3A"/>
    <w:rsid w:val="00181E7C"/>
    <w:rsid w:val="001820B2"/>
    <w:rsid w:val="001821E9"/>
    <w:rsid w:val="0018246F"/>
    <w:rsid w:val="00182718"/>
    <w:rsid w:val="00182D06"/>
    <w:rsid w:val="00182FBF"/>
    <w:rsid w:val="001836DF"/>
    <w:rsid w:val="00183CB7"/>
    <w:rsid w:val="00183CC6"/>
    <w:rsid w:val="00183F11"/>
    <w:rsid w:val="001840F5"/>
    <w:rsid w:val="00184A29"/>
    <w:rsid w:val="00184DAB"/>
    <w:rsid w:val="00184F51"/>
    <w:rsid w:val="00185257"/>
    <w:rsid w:val="00185E59"/>
    <w:rsid w:val="00185F10"/>
    <w:rsid w:val="00185FDA"/>
    <w:rsid w:val="00186395"/>
    <w:rsid w:val="001863E3"/>
    <w:rsid w:val="0018695F"/>
    <w:rsid w:val="00186B4D"/>
    <w:rsid w:val="0018767B"/>
    <w:rsid w:val="001902B8"/>
    <w:rsid w:val="001908C5"/>
    <w:rsid w:val="00190927"/>
    <w:rsid w:val="00190BD5"/>
    <w:rsid w:val="00190C5A"/>
    <w:rsid w:val="00190D28"/>
    <w:rsid w:val="00191727"/>
    <w:rsid w:val="00191EBF"/>
    <w:rsid w:val="00192338"/>
    <w:rsid w:val="00192589"/>
    <w:rsid w:val="001925E5"/>
    <w:rsid w:val="001929F7"/>
    <w:rsid w:val="00193924"/>
    <w:rsid w:val="00193987"/>
    <w:rsid w:val="00193EEE"/>
    <w:rsid w:val="00194955"/>
    <w:rsid w:val="00195657"/>
    <w:rsid w:val="0019573B"/>
    <w:rsid w:val="0019592C"/>
    <w:rsid w:val="00196085"/>
    <w:rsid w:val="00196B90"/>
    <w:rsid w:val="00196DE8"/>
    <w:rsid w:val="00196FF4"/>
    <w:rsid w:val="001970EF"/>
    <w:rsid w:val="0019734F"/>
    <w:rsid w:val="001A0303"/>
    <w:rsid w:val="001A0313"/>
    <w:rsid w:val="001A0676"/>
    <w:rsid w:val="001A067A"/>
    <w:rsid w:val="001A06C8"/>
    <w:rsid w:val="001A1337"/>
    <w:rsid w:val="001A2939"/>
    <w:rsid w:val="001A2F35"/>
    <w:rsid w:val="001A2FD5"/>
    <w:rsid w:val="001A3037"/>
    <w:rsid w:val="001A30FB"/>
    <w:rsid w:val="001A36CF"/>
    <w:rsid w:val="001A3974"/>
    <w:rsid w:val="001A3BBA"/>
    <w:rsid w:val="001A3F0F"/>
    <w:rsid w:val="001A3FA5"/>
    <w:rsid w:val="001A4B4D"/>
    <w:rsid w:val="001A4EDF"/>
    <w:rsid w:val="001A5308"/>
    <w:rsid w:val="001A6164"/>
    <w:rsid w:val="001A61A0"/>
    <w:rsid w:val="001A6AFE"/>
    <w:rsid w:val="001A6E27"/>
    <w:rsid w:val="001A706D"/>
    <w:rsid w:val="001A71EB"/>
    <w:rsid w:val="001A72EE"/>
    <w:rsid w:val="001A7826"/>
    <w:rsid w:val="001A79DA"/>
    <w:rsid w:val="001B00B2"/>
    <w:rsid w:val="001B0149"/>
    <w:rsid w:val="001B0251"/>
    <w:rsid w:val="001B0407"/>
    <w:rsid w:val="001B0799"/>
    <w:rsid w:val="001B1565"/>
    <w:rsid w:val="001B2993"/>
    <w:rsid w:val="001B2C18"/>
    <w:rsid w:val="001B35C1"/>
    <w:rsid w:val="001B3754"/>
    <w:rsid w:val="001B3A10"/>
    <w:rsid w:val="001B4371"/>
    <w:rsid w:val="001B5332"/>
    <w:rsid w:val="001B54E9"/>
    <w:rsid w:val="001B55DE"/>
    <w:rsid w:val="001B635D"/>
    <w:rsid w:val="001B70CF"/>
    <w:rsid w:val="001B7244"/>
    <w:rsid w:val="001B748B"/>
    <w:rsid w:val="001B768B"/>
    <w:rsid w:val="001B7905"/>
    <w:rsid w:val="001C005D"/>
    <w:rsid w:val="001C0085"/>
    <w:rsid w:val="001C063F"/>
    <w:rsid w:val="001C0874"/>
    <w:rsid w:val="001C0883"/>
    <w:rsid w:val="001C0FF5"/>
    <w:rsid w:val="001C12A0"/>
    <w:rsid w:val="001C16A9"/>
    <w:rsid w:val="001C19EB"/>
    <w:rsid w:val="001C1E53"/>
    <w:rsid w:val="001C211D"/>
    <w:rsid w:val="001C22B1"/>
    <w:rsid w:val="001C2A8B"/>
    <w:rsid w:val="001C3434"/>
    <w:rsid w:val="001C3474"/>
    <w:rsid w:val="001C3DC6"/>
    <w:rsid w:val="001C3E02"/>
    <w:rsid w:val="001C4A39"/>
    <w:rsid w:val="001C4F5F"/>
    <w:rsid w:val="001C54B8"/>
    <w:rsid w:val="001C589B"/>
    <w:rsid w:val="001C58A6"/>
    <w:rsid w:val="001C5BC8"/>
    <w:rsid w:val="001C5DBB"/>
    <w:rsid w:val="001C5F88"/>
    <w:rsid w:val="001C6182"/>
    <w:rsid w:val="001C619C"/>
    <w:rsid w:val="001C639F"/>
    <w:rsid w:val="001C66D2"/>
    <w:rsid w:val="001C7426"/>
    <w:rsid w:val="001C7F47"/>
    <w:rsid w:val="001D006C"/>
    <w:rsid w:val="001D056C"/>
    <w:rsid w:val="001D0578"/>
    <w:rsid w:val="001D0593"/>
    <w:rsid w:val="001D1258"/>
    <w:rsid w:val="001D19F8"/>
    <w:rsid w:val="001D1CFF"/>
    <w:rsid w:val="001D1E1F"/>
    <w:rsid w:val="001D23A3"/>
    <w:rsid w:val="001D2B3C"/>
    <w:rsid w:val="001D2E6C"/>
    <w:rsid w:val="001D2F8F"/>
    <w:rsid w:val="001D35DC"/>
    <w:rsid w:val="001D43C0"/>
    <w:rsid w:val="001D448E"/>
    <w:rsid w:val="001D4969"/>
    <w:rsid w:val="001D4AF0"/>
    <w:rsid w:val="001D4F24"/>
    <w:rsid w:val="001D506F"/>
    <w:rsid w:val="001D57BC"/>
    <w:rsid w:val="001D65DA"/>
    <w:rsid w:val="001D6E61"/>
    <w:rsid w:val="001D6F30"/>
    <w:rsid w:val="001D7260"/>
    <w:rsid w:val="001D7816"/>
    <w:rsid w:val="001D7ADE"/>
    <w:rsid w:val="001D7B96"/>
    <w:rsid w:val="001D7FE2"/>
    <w:rsid w:val="001E09F4"/>
    <w:rsid w:val="001E0A73"/>
    <w:rsid w:val="001E111F"/>
    <w:rsid w:val="001E1284"/>
    <w:rsid w:val="001E1524"/>
    <w:rsid w:val="001E16D8"/>
    <w:rsid w:val="001E1710"/>
    <w:rsid w:val="001E1D3C"/>
    <w:rsid w:val="001E1DDA"/>
    <w:rsid w:val="001E220A"/>
    <w:rsid w:val="001E251E"/>
    <w:rsid w:val="001E266E"/>
    <w:rsid w:val="001E2E7F"/>
    <w:rsid w:val="001E2EEF"/>
    <w:rsid w:val="001E3188"/>
    <w:rsid w:val="001E31D1"/>
    <w:rsid w:val="001E32BE"/>
    <w:rsid w:val="001E3A45"/>
    <w:rsid w:val="001E420B"/>
    <w:rsid w:val="001E4704"/>
    <w:rsid w:val="001E5B27"/>
    <w:rsid w:val="001E5BB2"/>
    <w:rsid w:val="001E5D1F"/>
    <w:rsid w:val="001E6313"/>
    <w:rsid w:val="001E6BDA"/>
    <w:rsid w:val="001E6C1B"/>
    <w:rsid w:val="001E7173"/>
    <w:rsid w:val="001E719A"/>
    <w:rsid w:val="001E750C"/>
    <w:rsid w:val="001E7712"/>
    <w:rsid w:val="001E7A8F"/>
    <w:rsid w:val="001E7BE3"/>
    <w:rsid w:val="001E7D26"/>
    <w:rsid w:val="001F020C"/>
    <w:rsid w:val="001F0546"/>
    <w:rsid w:val="001F06D6"/>
    <w:rsid w:val="001F0DDF"/>
    <w:rsid w:val="001F11F0"/>
    <w:rsid w:val="001F18E2"/>
    <w:rsid w:val="001F1B1E"/>
    <w:rsid w:val="001F1BEA"/>
    <w:rsid w:val="001F1DFA"/>
    <w:rsid w:val="001F1E26"/>
    <w:rsid w:val="001F22A9"/>
    <w:rsid w:val="001F26E9"/>
    <w:rsid w:val="001F29D5"/>
    <w:rsid w:val="001F2D17"/>
    <w:rsid w:val="001F2E08"/>
    <w:rsid w:val="001F33A0"/>
    <w:rsid w:val="001F35A8"/>
    <w:rsid w:val="001F39AB"/>
    <w:rsid w:val="001F45E8"/>
    <w:rsid w:val="001F4E57"/>
    <w:rsid w:val="001F5147"/>
    <w:rsid w:val="001F53A2"/>
    <w:rsid w:val="001F5C95"/>
    <w:rsid w:val="001F5C9E"/>
    <w:rsid w:val="001F5E73"/>
    <w:rsid w:val="001F5ED8"/>
    <w:rsid w:val="001F5F10"/>
    <w:rsid w:val="001F644E"/>
    <w:rsid w:val="001F6E45"/>
    <w:rsid w:val="001F7317"/>
    <w:rsid w:val="001F798D"/>
    <w:rsid w:val="001F7DD6"/>
    <w:rsid w:val="002000F2"/>
    <w:rsid w:val="002000FC"/>
    <w:rsid w:val="0020087C"/>
    <w:rsid w:val="00200A92"/>
    <w:rsid w:val="00200B81"/>
    <w:rsid w:val="00200BF9"/>
    <w:rsid w:val="00200CC2"/>
    <w:rsid w:val="0020142D"/>
    <w:rsid w:val="00201446"/>
    <w:rsid w:val="00201488"/>
    <w:rsid w:val="00201573"/>
    <w:rsid w:val="002016C0"/>
    <w:rsid w:val="00201A5F"/>
    <w:rsid w:val="00201B59"/>
    <w:rsid w:val="00201DEC"/>
    <w:rsid w:val="002024E6"/>
    <w:rsid w:val="00202D2E"/>
    <w:rsid w:val="00203159"/>
    <w:rsid w:val="00203658"/>
    <w:rsid w:val="00203A6E"/>
    <w:rsid w:val="00203F00"/>
    <w:rsid w:val="00203F5C"/>
    <w:rsid w:val="002047DE"/>
    <w:rsid w:val="00204981"/>
    <w:rsid w:val="00204A5A"/>
    <w:rsid w:val="00204C12"/>
    <w:rsid w:val="00205543"/>
    <w:rsid w:val="00205635"/>
    <w:rsid w:val="002059A3"/>
    <w:rsid w:val="00205AB2"/>
    <w:rsid w:val="00205CB2"/>
    <w:rsid w:val="00205D98"/>
    <w:rsid w:val="0020610B"/>
    <w:rsid w:val="002063A7"/>
    <w:rsid w:val="0020671A"/>
    <w:rsid w:val="0020674D"/>
    <w:rsid w:val="00206BF6"/>
    <w:rsid w:val="00206E5A"/>
    <w:rsid w:val="00207613"/>
    <w:rsid w:val="00207847"/>
    <w:rsid w:val="00207AF9"/>
    <w:rsid w:val="00207BB9"/>
    <w:rsid w:val="00207EB6"/>
    <w:rsid w:val="00210174"/>
    <w:rsid w:val="0021065B"/>
    <w:rsid w:val="002109D5"/>
    <w:rsid w:val="00210A2E"/>
    <w:rsid w:val="00210B05"/>
    <w:rsid w:val="00210C84"/>
    <w:rsid w:val="00210C91"/>
    <w:rsid w:val="00210F42"/>
    <w:rsid w:val="00211042"/>
    <w:rsid w:val="00211345"/>
    <w:rsid w:val="002114FA"/>
    <w:rsid w:val="00211D31"/>
    <w:rsid w:val="00211DD9"/>
    <w:rsid w:val="002123ED"/>
    <w:rsid w:val="00212816"/>
    <w:rsid w:val="002130BD"/>
    <w:rsid w:val="002137C4"/>
    <w:rsid w:val="00213851"/>
    <w:rsid w:val="00214E0D"/>
    <w:rsid w:val="0021512E"/>
    <w:rsid w:val="0021586D"/>
    <w:rsid w:val="00215D76"/>
    <w:rsid w:val="002162EA"/>
    <w:rsid w:val="002165F9"/>
    <w:rsid w:val="00216685"/>
    <w:rsid w:val="00216B17"/>
    <w:rsid w:val="00216BBF"/>
    <w:rsid w:val="00216D0D"/>
    <w:rsid w:val="00217135"/>
    <w:rsid w:val="0021797D"/>
    <w:rsid w:val="00217C32"/>
    <w:rsid w:val="00217CE8"/>
    <w:rsid w:val="0022003A"/>
    <w:rsid w:val="002202EC"/>
    <w:rsid w:val="002204ED"/>
    <w:rsid w:val="002208BE"/>
    <w:rsid w:val="0022091D"/>
    <w:rsid w:val="00220E92"/>
    <w:rsid w:val="00221022"/>
    <w:rsid w:val="0022135D"/>
    <w:rsid w:val="00221A25"/>
    <w:rsid w:val="00222052"/>
    <w:rsid w:val="002222A4"/>
    <w:rsid w:val="00222AB8"/>
    <w:rsid w:val="00222B25"/>
    <w:rsid w:val="00222FE7"/>
    <w:rsid w:val="00223833"/>
    <w:rsid w:val="00223847"/>
    <w:rsid w:val="00223ACD"/>
    <w:rsid w:val="00224A38"/>
    <w:rsid w:val="00224A9B"/>
    <w:rsid w:val="00225F53"/>
    <w:rsid w:val="0022657F"/>
    <w:rsid w:val="002269A7"/>
    <w:rsid w:val="00226A52"/>
    <w:rsid w:val="00226AE0"/>
    <w:rsid w:val="00226BD3"/>
    <w:rsid w:val="00226FE2"/>
    <w:rsid w:val="0022735A"/>
    <w:rsid w:val="00227652"/>
    <w:rsid w:val="00227850"/>
    <w:rsid w:val="00227873"/>
    <w:rsid w:val="002279D2"/>
    <w:rsid w:val="00227A1E"/>
    <w:rsid w:val="00227D0D"/>
    <w:rsid w:val="00227F9E"/>
    <w:rsid w:val="00230040"/>
    <w:rsid w:val="00230189"/>
    <w:rsid w:val="002303E8"/>
    <w:rsid w:val="00230AD3"/>
    <w:rsid w:val="00230BB1"/>
    <w:rsid w:val="0023124C"/>
    <w:rsid w:val="002314EE"/>
    <w:rsid w:val="00231740"/>
    <w:rsid w:val="00231B71"/>
    <w:rsid w:val="00231D67"/>
    <w:rsid w:val="00232149"/>
    <w:rsid w:val="00232191"/>
    <w:rsid w:val="0023265F"/>
    <w:rsid w:val="0023287C"/>
    <w:rsid w:val="00232E9D"/>
    <w:rsid w:val="0023324F"/>
    <w:rsid w:val="002344C8"/>
    <w:rsid w:val="002349C5"/>
    <w:rsid w:val="00234B73"/>
    <w:rsid w:val="00235581"/>
    <w:rsid w:val="00235698"/>
    <w:rsid w:val="00236850"/>
    <w:rsid w:val="00236F71"/>
    <w:rsid w:val="002373FC"/>
    <w:rsid w:val="00237C6F"/>
    <w:rsid w:val="00237D22"/>
    <w:rsid w:val="0024029F"/>
    <w:rsid w:val="00240487"/>
    <w:rsid w:val="00240956"/>
    <w:rsid w:val="00240B7D"/>
    <w:rsid w:val="00240C63"/>
    <w:rsid w:val="00240F65"/>
    <w:rsid w:val="0024103F"/>
    <w:rsid w:val="00241C7B"/>
    <w:rsid w:val="00241D6D"/>
    <w:rsid w:val="002421F2"/>
    <w:rsid w:val="0024284B"/>
    <w:rsid w:val="0024286B"/>
    <w:rsid w:val="00242B2A"/>
    <w:rsid w:val="00242CAE"/>
    <w:rsid w:val="00243ACD"/>
    <w:rsid w:val="00243B7F"/>
    <w:rsid w:val="00243FCB"/>
    <w:rsid w:val="0024445A"/>
    <w:rsid w:val="00244606"/>
    <w:rsid w:val="00244924"/>
    <w:rsid w:val="002449F4"/>
    <w:rsid w:val="00245115"/>
    <w:rsid w:val="0024514D"/>
    <w:rsid w:val="00245167"/>
    <w:rsid w:val="0024520E"/>
    <w:rsid w:val="0024530E"/>
    <w:rsid w:val="00245492"/>
    <w:rsid w:val="00245A41"/>
    <w:rsid w:val="00245B70"/>
    <w:rsid w:val="00245D7D"/>
    <w:rsid w:val="00245E39"/>
    <w:rsid w:val="00245E49"/>
    <w:rsid w:val="00245FBA"/>
    <w:rsid w:val="00246BEB"/>
    <w:rsid w:val="00246C52"/>
    <w:rsid w:val="00246EB6"/>
    <w:rsid w:val="002475BE"/>
    <w:rsid w:val="00247660"/>
    <w:rsid w:val="0024785A"/>
    <w:rsid w:val="00247C92"/>
    <w:rsid w:val="00247DD1"/>
    <w:rsid w:val="002501CB"/>
    <w:rsid w:val="002506F5"/>
    <w:rsid w:val="002508C7"/>
    <w:rsid w:val="00250D9C"/>
    <w:rsid w:val="00251117"/>
    <w:rsid w:val="002512A9"/>
    <w:rsid w:val="002515EA"/>
    <w:rsid w:val="0025169E"/>
    <w:rsid w:val="00251723"/>
    <w:rsid w:val="00251843"/>
    <w:rsid w:val="00251929"/>
    <w:rsid w:val="00251F5E"/>
    <w:rsid w:val="00251F78"/>
    <w:rsid w:val="0025204B"/>
    <w:rsid w:val="002524F6"/>
    <w:rsid w:val="002530D6"/>
    <w:rsid w:val="002530D9"/>
    <w:rsid w:val="00253146"/>
    <w:rsid w:val="0025325D"/>
    <w:rsid w:val="002533FF"/>
    <w:rsid w:val="00253400"/>
    <w:rsid w:val="002537F5"/>
    <w:rsid w:val="00253905"/>
    <w:rsid w:val="002539D5"/>
    <w:rsid w:val="0025429A"/>
    <w:rsid w:val="0025655A"/>
    <w:rsid w:val="00256B22"/>
    <w:rsid w:val="00256B25"/>
    <w:rsid w:val="00256D51"/>
    <w:rsid w:val="00256F02"/>
    <w:rsid w:val="002571C8"/>
    <w:rsid w:val="002572F1"/>
    <w:rsid w:val="002573C4"/>
    <w:rsid w:val="00257A62"/>
    <w:rsid w:val="00257B60"/>
    <w:rsid w:val="00260156"/>
    <w:rsid w:val="00260669"/>
    <w:rsid w:val="0026075E"/>
    <w:rsid w:val="002608BD"/>
    <w:rsid w:val="00260FAD"/>
    <w:rsid w:val="002617F6"/>
    <w:rsid w:val="00261D05"/>
    <w:rsid w:val="00261E67"/>
    <w:rsid w:val="002623AC"/>
    <w:rsid w:val="00262979"/>
    <w:rsid w:val="00263038"/>
    <w:rsid w:val="002631DC"/>
    <w:rsid w:val="0026382D"/>
    <w:rsid w:val="0026385F"/>
    <w:rsid w:val="00263B75"/>
    <w:rsid w:val="00263DD9"/>
    <w:rsid w:val="00264256"/>
    <w:rsid w:val="0026432F"/>
    <w:rsid w:val="0026455A"/>
    <w:rsid w:val="0026460B"/>
    <w:rsid w:val="0026468A"/>
    <w:rsid w:val="00264C28"/>
    <w:rsid w:val="00264E37"/>
    <w:rsid w:val="002654D9"/>
    <w:rsid w:val="00265701"/>
    <w:rsid w:val="00265CB1"/>
    <w:rsid w:val="00265E9A"/>
    <w:rsid w:val="00266111"/>
    <w:rsid w:val="00266210"/>
    <w:rsid w:val="002664FA"/>
    <w:rsid w:val="00266867"/>
    <w:rsid w:val="0026716C"/>
    <w:rsid w:val="00267819"/>
    <w:rsid w:val="002706CC"/>
    <w:rsid w:val="002708DA"/>
    <w:rsid w:val="00270C63"/>
    <w:rsid w:val="00270C98"/>
    <w:rsid w:val="00270CF1"/>
    <w:rsid w:val="00270E57"/>
    <w:rsid w:val="00270E80"/>
    <w:rsid w:val="002711C3"/>
    <w:rsid w:val="002713CE"/>
    <w:rsid w:val="0027193C"/>
    <w:rsid w:val="00271EEF"/>
    <w:rsid w:val="0027242C"/>
    <w:rsid w:val="00272474"/>
    <w:rsid w:val="0027257A"/>
    <w:rsid w:val="00272736"/>
    <w:rsid w:val="00272D06"/>
    <w:rsid w:val="00272FEB"/>
    <w:rsid w:val="00273644"/>
    <w:rsid w:val="002738C9"/>
    <w:rsid w:val="00273B2D"/>
    <w:rsid w:val="00273CFB"/>
    <w:rsid w:val="00274668"/>
    <w:rsid w:val="00274CE5"/>
    <w:rsid w:val="00274D08"/>
    <w:rsid w:val="00274DE3"/>
    <w:rsid w:val="0027540F"/>
    <w:rsid w:val="00275464"/>
    <w:rsid w:val="0027568B"/>
    <w:rsid w:val="002756D5"/>
    <w:rsid w:val="00275B92"/>
    <w:rsid w:val="00275E10"/>
    <w:rsid w:val="00275F3B"/>
    <w:rsid w:val="00276001"/>
    <w:rsid w:val="00276243"/>
    <w:rsid w:val="002764FB"/>
    <w:rsid w:val="00276660"/>
    <w:rsid w:val="002766C9"/>
    <w:rsid w:val="002768E3"/>
    <w:rsid w:val="00277512"/>
    <w:rsid w:val="002777E4"/>
    <w:rsid w:val="00277E66"/>
    <w:rsid w:val="002801E2"/>
    <w:rsid w:val="00280612"/>
    <w:rsid w:val="0028073A"/>
    <w:rsid w:val="00280960"/>
    <w:rsid w:val="0028164E"/>
    <w:rsid w:val="0028168F"/>
    <w:rsid w:val="002825CE"/>
    <w:rsid w:val="0028272A"/>
    <w:rsid w:val="00283165"/>
    <w:rsid w:val="002832E7"/>
    <w:rsid w:val="00284E7F"/>
    <w:rsid w:val="0028550D"/>
    <w:rsid w:val="00285520"/>
    <w:rsid w:val="00285894"/>
    <w:rsid w:val="00285E28"/>
    <w:rsid w:val="00286631"/>
    <w:rsid w:val="00286B84"/>
    <w:rsid w:val="00286F76"/>
    <w:rsid w:val="00287376"/>
    <w:rsid w:val="002877DE"/>
    <w:rsid w:val="00287821"/>
    <w:rsid w:val="00287C28"/>
    <w:rsid w:val="00287C39"/>
    <w:rsid w:val="00290254"/>
    <w:rsid w:val="00290C83"/>
    <w:rsid w:val="0029130D"/>
    <w:rsid w:val="0029142E"/>
    <w:rsid w:val="002915DA"/>
    <w:rsid w:val="0029178F"/>
    <w:rsid w:val="00291C45"/>
    <w:rsid w:val="00292540"/>
    <w:rsid w:val="0029279E"/>
    <w:rsid w:val="00293504"/>
    <w:rsid w:val="00293C49"/>
    <w:rsid w:val="00294266"/>
    <w:rsid w:val="002944CA"/>
    <w:rsid w:val="00294504"/>
    <w:rsid w:val="00294722"/>
    <w:rsid w:val="00294AB1"/>
    <w:rsid w:val="00294C8C"/>
    <w:rsid w:val="00295226"/>
    <w:rsid w:val="002953D0"/>
    <w:rsid w:val="00295F1C"/>
    <w:rsid w:val="002960D8"/>
    <w:rsid w:val="0029660E"/>
    <w:rsid w:val="00296758"/>
    <w:rsid w:val="0029696C"/>
    <w:rsid w:val="00296D93"/>
    <w:rsid w:val="00296FD8"/>
    <w:rsid w:val="0029743A"/>
    <w:rsid w:val="00297499"/>
    <w:rsid w:val="002974AA"/>
    <w:rsid w:val="002977A0"/>
    <w:rsid w:val="00297F46"/>
    <w:rsid w:val="002A025C"/>
    <w:rsid w:val="002A0581"/>
    <w:rsid w:val="002A05EF"/>
    <w:rsid w:val="002A067D"/>
    <w:rsid w:val="002A0724"/>
    <w:rsid w:val="002A1A57"/>
    <w:rsid w:val="002A1DA1"/>
    <w:rsid w:val="002A205B"/>
    <w:rsid w:val="002A2FB8"/>
    <w:rsid w:val="002A31FF"/>
    <w:rsid w:val="002A3668"/>
    <w:rsid w:val="002A3771"/>
    <w:rsid w:val="002A37C5"/>
    <w:rsid w:val="002A3AFD"/>
    <w:rsid w:val="002A3B12"/>
    <w:rsid w:val="002A4102"/>
    <w:rsid w:val="002A4918"/>
    <w:rsid w:val="002A4B7D"/>
    <w:rsid w:val="002A4E20"/>
    <w:rsid w:val="002A523D"/>
    <w:rsid w:val="002A5FC1"/>
    <w:rsid w:val="002A6EF8"/>
    <w:rsid w:val="002A732C"/>
    <w:rsid w:val="002A7671"/>
    <w:rsid w:val="002A7A6A"/>
    <w:rsid w:val="002A7AB4"/>
    <w:rsid w:val="002B07BF"/>
    <w:rsid w:val="002B0805"/>
    <w:rsid w:val="002B0960"/>
    <w:rsid w:val="002B0C99"/>
    <w:rsid w:val="002B10F9"/>
    <w:rsid w:val="002B12C7"/>
    <w:rsid w:val="002B1939"/>
    <w:rsid w:val="002B1AFA"/>
    <w:rsid w:val="002B21D6"/>
    <w:rsid w:val="002B2C92"/>
    <w:rsid w:val="002B3081"/>
    <w:rsid w:val="002B318B"/>
    <w:rsid w:val="002B32BC"/>
    <w:rsid w:val="002B340B"/>
    <w:rsid w:val="002B34AE"/>
    <w:rsid w:val="002B39E3"/>
    <w:rsid w:val="002B3B40"/>
    <w:rsid w:val="002B3D90"/>
    <w:rsid w:val="002B453B"/>
    <w:rsid w:val="002B4C39"/>
    <w:rsid w:val="002B601A"/>
    <w:rsid w:val="002B61F1"/>
    <w:rsid w:val="002B64FE"/>
    <w:rsid w:val="002B694E"/>
    <w:rsid w:val="002B6D31"/>
    <w:rsid w:val="002B70A2"/>
    <w:rsid w:val="002B7D56"/>
    <w:rsid w:val="002C04C2"/>
    <w:rsid w:val="002C0818"/>
    <w:rsid w:val="002C08A0"/>
    <w:rsid w:val="002C0D11"/>
    <w:rsid w:val="002C1B17"/>
    <w:rsid w:val="002C1D21"/>
    <w:rsid w:val="002C203A"/>
    <w:rsid w:val="002C2AE9"/>
    <w:rsid w:val="002C2B29"/>
    <w:rsid w:val="002C2E8A"/>
    <w:rsid w:val="002C2FCD"/>
    <w:rsid w:val="002C3AE4"/>
    <w:rsid w:val="002C3E89"/>
    <w:rsid w:val="002C42AA"/>
    <w:rsid w:val="002C493A"/>
    <w:rsid w:val="002C4A25"/>
    <w:rsid w:val="002C4AF6"/>
    <w:rsid w:val="002C5533"/>
    <w:rsid w:val="002C5620"/>
    <w:rsid w:val="002C5A6B"/>
    <w:rsid w:val="002C61E0"/>
    <w:rsid w:val="002C640C"/>
    <w:rsid w:val="002C6D3C"/>
    <w:rsid w:val="002C7114"/>
    <w:rsid w:val="002C76DE"/>
    <w:rsid w:val="002C782F"/>
    <w:rsid w:val="002C7B03"/>
    <w:rsid w:val="002C7B0D"/>
    <w:rsid w:val="002C7EBB"/>
    <w:rsid w:val="002D001E"/>
    <w:rsid w:val="002D0115"/>
    <w:rsid w:val="002D0298"/>
    <w:rsid w:val="002D04DC"/>
    <w:rsid w:val="002D0657"/>
    <w:rsid w:val="002D0769"/>
    <w:rsid w:val="002D0820"/>
    <w:rsid w:val="002D09B3"/>
    <w:rsid w:val="002D1258"/>
    <w:rsid w:val="002D13B7"/>
    <w:rsid w:val="002D2A64"/>
    <w:rsid w:val="002D2B4E"/>
    <w:rsid w:val="002D3968"/>
    <w:rsid w:val="002D425A"/>
    <w:rsid w:val="002D4314"/>
    <w:rsid w:val="002D4A54"/>
    <w:rsid w:val="002D4E37"/>
    <w:rsid w:val="002D52E0"/>
    <w:rsid w:val="002D547D"/>
    <w:rsid w:val="002D5DEA"/>
    <w:rsid w:val="002D6127"/>
    <w:rsid w:val="002D61BE"/>
    <w:rsid w:val="002D61F0"/>
    <w:rsid w:val="002D6624"/>
    <w:rsid w:val="002D7235"/>
    <w:rsid w:val="002D76E8"/>
    <w:rsid w:val="002D78EF"/>
    <w:rsid w:val="002D7952"/>
    <w:rsid w:val="002E0E5E"/>
    <w:rsid w:val="002E0E94"/>
    <w:rsid w:val="002E15A5"/>
    <w:rsid w:val="002E16BC"/>
    <w:rsid w:val="002E19AD"/>
    <w:rsid w:val="002E1BA1"/>
    <w:rsid w:val="002E1E06"/>
    <w:rsid w:val="002E25D2"/>
    <w:rsid w:val="002E2738"/>
    <w:rsid w:val="002E2923"/>
    <w:rsid w:val="002E2A76"/>
    <w:rsid w:val="002E306D"/>
    <w:rsid w:val="002E3653"/>
    <w:rsid w:val="002E38B7"/>
    <w:rsid w:val="002E4301"/>
    <w:rsid w:val="002E58E1"/>
    <w:rsid w:val="002E5BDD"/>
    <w:rsid w:val="002E5C56"/>
    <w:rsid w:val="002E5D86"/>
    <w:rsid w:val="002E5DD7"/>
    <w:rsid w:val="002E6809"/>
    <w:rsid w:val="002E7780"/>
    <w:rsid w:val="002F0045"/>
    <w:rsid w:val="002F00F0"/>
    <w:rsid w:val="002F025B"/>
    <w:rsid w:val="002F0684"/>
    <w:rsid w:val="002F09C0"/>
    <w:rsid w:val="002F0ADB"/>
    <w:rsid w:val="002F0E34"/>
    <w:rsid w:val="002F22C3"/>
    <w:rsid w:val="002F2AE0"/>
    <w:rsid w:val="002F31C4"/>
    <w:rsid w:val="002F322F"/>
    <w:rsid w:val="002F3C04"/>
    <w:rsid w:val="002F3F16"/>
    <w:rsid w:val="002F413F"/>
    <w:rsid w:val="002F446A"/>
    <w:rsid w:val="002F44AD"/>
    <w:rsid w:val="002F45D3"/>
    <w:rsid w:val="002F4934"/>
    <w:rsid w:val="002F4A52"/>
    <w:rsid w:val="002F4CF5"/>
    <w:rsid w:val="002F4E98"/>
    <w:rsid w:val="002F4FC5"/>
    <w:rsid w:val="002F5312"/>
    <w:rsid w:val="002F5422"/>
    <w:rsid w:val="002F5634"/>
    <w:rsid w:val="002F566C"/>
    <w:rsid w:val="002F5874"/>
    <w:rsid w:val="002F5881"/>
    <w:rsid w:val="002F5FDA"/>
    <w:rsid w:val="002F63ED"/>
    <w:rsid w:val="002F6AC6"/>
    <w:rsid w:val="002F6BDA"/>
    <w:rsid w:val="002F778C"/>
    <w:rsid w:val="002F7919"/>
    <w:rsid w:val="002F7B6D"/>
    <w:rsid w:val="002F7D48"/>
    <w:rsid w:val="002F7EC5"/>
    <w:rsid w:val="00300085"/>
    <w:rsid w:val="0030027C"/>
    <w:rsid w:val="003003AD"/>
    <w:rsid w:val="00300E5F"/>
    <w:rsid w:val="003011C0"/>
    <w:rsid w:val="00301686"/>
    <w:rsid w:val="00301DA6"/>
    <w:rsid w:val="00301EE4"/>
    <w:rsid w:val="003024DE"/>
    <w:rsid w:val="00302532"/>
    <w:rsid w:val="00302701"/>
    <w:rsid w:val="00302739"/>
    <w:rsid w:val="00302B48"/>
    <w:rsid w:val="00302EDE"/>
    <w:rsid w:val="00302FEF"/>
    <w:rsid w:val="0030318E"/>
    <w:rsid w:val="00304556"/>
    <w:rsid w:val="00304AC5"/>
    <w:rsid w:val="00304C9E"/>
    <w:rsid w:val="003065FB"/>
    <w:rsid w:val="00306ED2"/>
    <w:rsid w:val="00306F89"/>
    <w:rsid w:val="0030749E"/>
    <w:rsid w:val="00307B27"/>
    <w:rsid w:val="00307D88"/>
    <w:rsid w:val="00307E05"/>
    <w:rsid w:val="00307F28"/>
    <w:rsid w:val="003101DC"/>
    <w:rsid w:val="0031049F"/>
    <w:rsid w:val="00310CC6"/>
    <w:rsid w:val="00310F30"/>
    <w:rsid w:val="00311642"/>
    <w:rsid w:val="00311761"/>
    <w:rsid w:val="00311941"/>
    <w:rsid w:val="00312709"/>
    <w:rsid w:val="00312ACB"/>
    <w:rsid w:val="003134E8"/>
    <w:rsid w:val="00313765"/>
    <w:rsid w:val="003137A0"/>
    <w:rsid w:val="00313BC1"/>
    <w:rsid w:val="00313C4F"/>
    <w:rsid w:val="00314111"/>
    <w:rsid w:val="003141C2"/>
    <w:rsid w:val="00314CBB"/>
    <w:rsid w:val="0031599D"/>
    <w:rsid w:val="00315DEC"/>
    <w:rsid w:val="00316064"/>
    <w:rsid w:val="00316C58"/>
    <w:rsid w:val="00316EAE"/>
    <w:rsid w:val="00317050"/>
    <w:rsid w:val="00317625"/>
    <w:rsid w:val="0031767A"/>
    <w:rsid w:val="00317731"/>
    <w:rsid w:val="00317919"/>
    <w:rsid w:val="00317BC5"/>
    <w:rsid w:val="00317C5E"/>
    <w:rsid w:val="0032013F"/>
    <w:rsid w:val="0032018E"/>
    <w:rsid w:val="00320310"/>
    <w:rsid w:val="00320B1B"/>
    <w:rsid w:val="00320B31"/>
    <w:rsid w:val="00320F1B"/>
    <w:rsid w:val="0032151E"/>
    <w:rsid w:val="0032172E"/>
    <w:rsid w:val="00321822"/>
    <w:rsid w:val="00321B02"/>
    <w:rsid w:val="00322BC3"/>
    <w:rsid w:val="00322C2B"/>
    <w:rsid w:val="00322E3B"/>
    <w:rsid w:val="003232E3"/>
    <w:rsid w:val="00323FAD"/>
    <w:rsid w:val="00324089"/>
    <w:rsid w:val="00324701"/>
    <w:rsid w:val="0032489D"/>
    <w:rsid w:val="003249F8"/>
    <w:rsid w:val="0032556B"/>
    <w:rsid w:val="0032651E"/>
    <w:rsid w:val="003267A6"/>
    <w:rsid w:val="003271E3"/>
    <w:rsid w:val="003272D0"/>
    <w:rsid w:val="003273DE"/>
    <w:rsid w:val="003278C7"/>
    <w:rsid w:val="0032793B"/>
    <w:rsid w:val="00327AEA"/>
    <w:rsid w:val="00327D99"/>
    <w:rsid w:val="00327FA5"/>
    <w:rsid w:val="003308C4"/>
    <w:rsid w:val="00330C30"/>
    <w:rsid w:val="00330DE8"/>
    <w:rsid w:val="00331915"/>
    <w:rsid w:val="00332123"/>
    <w:rsid w:val="003321C3"/>
    <w:rsid w:val="0033290E"/>
    <w:rsid w:val="00332962"/>
    <w:rsid w:val="00334E18"/>
    <w:rsid w:val="00335250"/>
    <w:rsid w:val="00335670"/>
    <w:rsid w:val="0033572D"/>
    <w:rsid w:val="0033592C"/>
    <w:rsid w:val="00335E2A"/>
    <w:rsid w:val="00336780"/>
    <w:rsid w:val="003367C5"/>
    <w:rsid w:val="00336DAD"/>
    <w:rsid w:val="00336DB3"/>
    <w:rsid w:val="00337065"/>
    <w:rsid w:val="00337B29"/>
    <w:rsid w:val="00337C71"/>
    <w:rsid w:val="003406B1"/>
    <w:rsid w:val="00340894"/>
    <w:rsid w:val="00340CC6"/>
    <w:rsid w:val="00340E58"/>
    <w:rsid w:val="00341087"/>
    <w:rsid w:val="003413C9"/>
    <w:rsid w:val="00341706"/>
    <w:rsid w:val="00341CFA"/>
    <w:rsid w:val="0034246D"/>
    <w:rsid w:val="0034305B"/>
    <w:rsid w:val="00343C24"/>
    <w:rsid w:val="00343FA6"/>
    <w:rsid w:val="00344725"/>
    <w:rsid w:val="00344901"/>
    <w:rsid w:val="0034511B"/>
    <w:rsid w:val="003453BF"/>
    <w:rsid w:val="0034745C"/>
    <w:rsid w:val="003474CD"/>
    <w:rsid w:val="003479B6"/>
    <w:rsid w:val="0035025F"/>
    <w:rsid w:val="0035041A"/>
    <w:rsid w:val="003505AD"/>
    <w:rsid w:val="00350631"/>
    <w:rsid w:val="00350EE7"/>
    <w:rsid w:val="00351439"/>
    <w:rsid w:val="0035180B"/>
    <w:rsid w:val="00351C98"/>
    <w:rsid w:val="0035216E"/>
    <w:rsid w:val="00352759"/>
    <w:rsid w:val="00352828"/>
    <w:rsid w:val="00352952"/>
    <w:rsid w:val="00352DAE"/>
    <w:rsid w:val="003530A0"/>
    <w:rsid w:val="003531B0"/>
    <w:rsid w:val="003532D2"/>
    <w:rsid w:val="003536C6"/>
    <w:rsid w:val="003539B2"/>
    <w:rsid w:val="0035414B"/>
    <w:rsid w:val="00354FE6"/>
    <w:rsid w:val="003552C6"/>
    <w:rsid w:val="003558FD"/>
    <w:rsid w:val="00355A83"/>
    <w:rsid w:val="003562D7"/>
    <w:rsid w:val="00356353"/>
    <w:rsid w:val="003567C9"/>
    <w:rsid w:val="00356CEC"/>
    <w:rsid w:val="003572DE"/>
    <w:rsid w:val="00357659"/>
    <w:rsid w:val="00357712"/>
    <w:rsid w:val="00357CAE"/>
    <w:rsid w:val="00360271"/>
    <w:rsid w:val="003604DB"/>
    <w:rsid w:val="003617B5"/>
    <w:rsid w:val="0036185C"/>
    <w:rsid w:val="00361B1A"/>
    <w:rsid w:val="0036227D"/>
    <w:rsid w:val="0036262C"/>
    <w:rsid w:val="00362C5A"/>
    <w:rsid w:val="003635B6"/>
    <w:rsid w:val="0036362F"/>
    <w:rsid w:val="00363FC9"/>
    <w:rsid w:val="00365023"/>
    <w:rsid w:val="00365644"/>
    <w:rsid w:val="0036590C"/>
    <w:rsid w:val="003665C5"/>
    <w:rsid w:val="00366B3A"/>
    <w:rsid w:val="0036707B"/>
    <w:rsid w:val="00370285"/>
    <w:rsid w:val="003704EE"/>
    <w:rsid w:val="00370880"/>
    <w:rsid w:val="00370EFD"/>
    <w:rsid w:val="00371137"/>
    <w:rsid w:val="003711C5"/>
    <w:rsid w:val="00371965"/>
    <w:rsid w:val="003719F5"/>
    <w:rsid w:val="00372019"/>
    <w:rsid w:val="00372029"/>
    <w:rsid w:val="003724A1"/>
    <w:rsid w:val="00372A6B"/>
    <w:rsid w:val="00372C12"/>
    <w:rsid w:val="00372CD9"/>
    <w:rsid w:val="00373B3C"/>
    <w:rsid w:val="00373E10"/>
    <w:rsid w:val="00373F2C"/>
    <w:rsid w:val="0037406C"/>
    <w:rsid w:val="00374191"/>
    <w:rsid w:val="003741D2"/>
    <w:rsid w:val="003744CB"/>
    <w:rsid w:val="0037450B"/>
    <w:rsid w:val="00374804"/>
    <w:rsid w:val="003748F9"/>
    <w:rsid w:val="00374C80"/>
    <w:rsid w:val="00374F06"/>
    <w:rsid w:val="00375222"/>
    <w:rsid w:val="00375FFC"/>
    <w:rsid w:val="003763DA"/>
    <w:rsid w:val="003764FA"/>
    <w:rsid w:val="0037665F"/>
    <w:rsid w:val="00376838"/>
    <w:rsid w:val="00376E0C"/>
    <w:rsid w:val="0037709A"/>
    <w:rsid w:val="00377146"/>
    <w:rsid w:val="003771CA"/>
    <w:rsid w:val="00377397"/>
    <w:rsid w:val="0037757C"/>
    <w:rsid w:val="003775BD"/>
    <w:rsid w:val="00380543"/>
    <w:rsid w:val="00380602"/>
    <w:rsid w:val="00380892"/>
    <w:rsid w:val="00380BBD"/>
    <w:rsid w:val="00380FF5"/>
    <w:rsid w:val="0038158E"/>
    <w:rsid w:val="003821E7"/>
    <w:rsid w:val="00382903"/>
    <w:rsid w:val="00383D4B"/>
    <w:rsid w:val="00383DDB"/>
    <w:rsid w:val="003842A8"/>
    <w:rsid w:val="00384747"/>
    <w:rsid w:val="003848D9"/>
    <w:rsid w:val="00384BC0"/>
    <w:rsid w:val="00384BD4"/>
    <w:rsid w:val="003852CC"/>
    <w:rsid w:val="00385A70"/>
    <w:rsid w:val="00385BD7"/>
    <w:rsid w:val="00386205"/>
    <w:rsid w:val="00386688"/>
    <w:rsid w:val="00386A15"/>
    <w:rsid w:val="00386B71"/>
    <w:rsid w:val="0038702D"/>
    <w:rsid w:val="003870BC"/>
    <w:rsid w:val="0038732E"/>
    <w:rsid w:val="003875A7"/>
    <w:rsid w:val="00387675"/>
    <w:rsid w:val="00387771"/>
    <w:rsid w:val="0038780F"/>
    <w:rsid w:val="00387866"/>
    <w:rsid w:val="00387868"/>
    <w:rsid w:val="00387B2B"/>
    <w:rsid w:val="00390449"/>
    <w:rsid w:val="003904B1"/>
    <w:rsid w:val="003907D2"/>
    <w:rsid w:val="00390C56"/>
    <w:rsid w:val="00390D34"/>
    <w:rsid w:val="0039122C"/>
    <w:rsid w:val="0039124D"/>
    <w:rsid w:val="00391354"/>
    <w:rsid w:val="00391A92"/>
    <w:rsid w:val="00391C99"/>
    <w:rsid w:val="003926BE"/>
    <w:rsid w:val="003929BE"/>
    <w:rsid w:val="003929D3"/>
    <w:rsid w:val="00392A1F"/>
    <w:rsid w:val="00392DB8"/>
    <w:rsid w:val="003933FD"/>
    <w:rsid w:val="00393A68"/>
    <w:rsid w:val="00393B78"/>
    <w:rsid w:val="003946B1"/>
    <w:rsid w:val="00394775"/>
    <w:rsid w:val="00394948"/>
    <w:rsid w:val="00394B44"/>
    <w:rsid w:val="00394D6C"/>
    <w:rsid w:val="0039502C"/>
    <w:rsid w:val="0039511F"/>
    <w:rsid w:val="003956FE"/>
    <w:rsid w:val="0039586B"/>
    <w:rsid w:val="003958F1"/>
    <w:rsid w:val="0039598F"/>
    <w:rsid w:val="00395DB2"/>
    <w:rsid w:val="0039610F"/>
    <w:rsid w:val="003962EC"/>
    <w:rsid w:val="003965AE"/>
    <w:rsid w:val="0039665F"/>
    <w:rsid w:val="00396BBB"/>
    <w:rsid w:val="00397292"/>
    <w:rsid w:val="003976DD"/>
    <w:rsid w:val="003978B8"/>
    <w:rsid w:val="00397AD4"/>
    <w:rsid w:val="00397C89"/>
    <w:rsid w:val="003A0311"/>
    <w:rsid w:val="003A05D5"/>
    <w:rsid w:val="003A0736"/>
    <w:rsid w:val="003A09D3"/>
    <w:rsid w:val="003A0CD4"/>
    <w:rsid w:val="003A0EB2"/>
    <w:rsid w:val="003A1009"/>
    <w:rsid w:val="003A1135"/>
    <w:rsid w:val="003A1341"/>
    <w:rsid w:val="003A17BA"/>
    <w:rsid w:val="003A19E0"/>
    <w:rsid w:val="003A1B5C"/>
    <w:rsid w:val="003A1DD5"/>
    <w:rsid w:val="003A1E6E"/>
    <w:rsid w:val="003A2019"/>
    <w:rsid w:val="003A2389"/>
    <w:rsid w:val="003A2D39"/>
    <w:rsid w:val="003A2FE7"/>
    <w:rsid w:val="003A349E"/>
    <w:rsid w:val="003A38AC"/>
    <w:rsid w:val="003A3C4B"/>
    <w:rsid w:val="003A42BB"/>
    <w:rsid w:val="003A44AA"/>
    <w:rsid w:val="003A45FB"/>
    <w:rsid w:val="003A48FC"/>
    <w:rsid w:val="003A4A2E"/>
    <w:rsid w:val="003A4CD4"/>
    <w:rsid w:val="003A4E82"/>
    <w:rsid w:val="003A523B"/>
    <w:rsid w:val="003A5865"/>
    <w:rsid w:val="003A590E"/>
    <w:rsid w:val="003A632A"/>
    <w:rsid w:val="003A6330"/>
    <w:rsid w:val="003A6619"/>
    <w:rsid w:val="003A6CC0"/>
    <w:rsid w:val="003A71E1"/>
    <w:rsid w:val="003A76A9"/>
    <w:rsid w:val="003A7747"/>
    <w:rsid w:val="003B0299"/>
    <w:rsid w:val="003B0B4D"/>
    <w:rsid w:val="003B248F"/>
    <w:rsid w:val="003B2B79"/>
    <w:rsid w:val="003B2C70"/>
    <w:rsid w:val="003B3171"/>
    <w:rsid w:val="003B3E56"/>
    <w:rsid w:val="003B4039"/>
    <w:rsid w:val="003B4482"/>
    <w:rsid w:val="003B495C"/>
    <w:rsid w:val="003B4B90"/>
    <w:rsid w:val="003B4D9B"/>
    <w:rsid w:val="003B4E9C"/>
    <w:rsid w:val="003B570F"/>
    <w:rsid w:val="003B5B57"/>
    <w:rsid w:val="003B5B7E"/>
    <w:rsid w:val="003B5BCB"/>
    <w:rsid w:val="003B5E30"/>
    <w:rsid w:val="003B6FCB"/>
    <w:rsid w:val="003B7020"/>
    <w:rsid w:val="003B7294"/>
    <w:rsid w:val="003B76FE"/>
    <w:rsid w:val="003C009A"/>
    <w:rsid w:val="003C0138"/>
    <w:rsid w:val="003C07D7"/>
    <w:rsid w:val="003C0985"/>
    <w:rsid w:val="003C0E4F"/>
    <w:rsid w:val="003C10B8"/>
    <w:rsid w:val="003C2C9D"/>
    <w:rsid w:val="003C35BB"/>
    <w:rsid w:val="003C3B73"/>
    <w:rsid w:val="003C3D6E"/>
    <w:rsid w:val="003C3F8B"/>
    <w:rsid w:val="003C4213"/>
    <w:rsid w:val="003C4250"/>
    <w:rsid w:val="003C44DB"/>
    <w:rsid w:val="003C4B1C"/>
    <w:rsid w:val="003C4F25"/>
    <w:rsid w:val="003C64CD"/>
    <w:rsid w:val="003C6580"/>
    <w:rsid w:val="003C6CCB"/>
    <w:rsid w:val="003C6DA9"/>
    <w:rsid w:val="003C7855"/>
    <w:rsid w:val="003D0240"/>
    <w:rsid w:val="003D06A7"/>
    <w:rsid w:val="003D0868"/>
    <w:rsid w:val="003D09DA"/>
    <w:rsid w:val="003D0D75"/>
    <w:rsid w:val="003D1CD0"/>
    <w:rsid w:val="003D1F11"/>
    <w:rsid w:val="003D22AC"/>
    <w:rsid w:val="003D2339"/>
    <w:rsid w:val="003D26AA"/>
    <w:rsid w:val="003D2AB4"/>
    <w:rsid w:val="003D2E43"/>
    <w:rsid w:val="003D3AD8"/>
    <w:rsid w:val="003D3EE3"/>
    <w:rsid w:val="003D4350"/>
    <w:rsid w:val="003D4409"/>
    <w:rsid w:val="003D48C2"/>
    <w:rsid w:val="003D519A"/>
    <w:rsid w:val="003D5717"/>
    <w:rsid w:val="003D5878"/>
    <w:rsid w:val="003D59FE"/>
    <w:rsid w:val="003D63BA"/>
    <w:rsid w:val="003D680E"/>
    <w:rsid w:val="003D69ED"/>
    <w:rsid w:val="003D6B43"/>
    <w:rsid w:val="003D740C"/>
    <w:rsid w:val="003D79E8"/>
    <w:rsid w:val="003E0487"/>
    <w:rsid w:val="003E0622"/>
    <w:rsid w:val="003E089F"/>
    <w:rsid w:val="003E0974"/>
    <w:rsid w:val="003E0ADB"/>
    <w:rsid w:val="003E0CE4"/>
    <w:rsid w:val="003E16FD"/>
    <w:rsid w:val="003E1868"/>
    <w:rsid w:val="003E1B00"/>
    <w:rsid w:val="003E1CF4"/>
    <w:rsid w:val="003E23A4"/>
    <w:rsid w:val="003E27B0"/>
    <w:rsid w:val="003E2818"/>
    <w:rsid w:val="003E2BF4"/>
    <w:rsid w:val="003E300E"/>
    <w:rsid w:val="003E3015"/>
    <w:rsid w:val="003E3524"/>
    <w:rsid w:val="003E37AD"/>
    <w:rsid w:val="003E37FC"/>
    <w:rsid w:val="003E3944"/>
    <w:rsid w:val="003E3B07"/>
    <w:rsid w:val="003E3BF0"/>
    <w:rsid w:val="003E3C5B"/>
    <w:rsid w:val="003E3CA6"/>
    <w:rsid w:val="003E40C9"/>
    <w:rsid w:val="003E416F"/>
    <w:rsid w:val="003E44DC"/>
    <w:rsid w:val="003E4884"/>
    <w:rsid w:val="003E4CDB"/>
    <w:rsid w:val="003E5DD3"/>
    <w:rsid w:val="003E6289"/>
    <w:rsid w:val="003E6592"/>
    <w:rsid w:val="003E679D"/>
    <w:rsid w:val="003E6A3C"/>
    <w:rsid w:val="003E6ED1"/>
    <w:rsid w:val="003E700A"/>
    <w:rsid w:val="003E7313"/>
    <w:rsid w:val="003E73BC"/>
    <w:rsid w:val="003E76BB"/>
    <w:rsid w:val="003E7706"/>
    <w:rsid w:val="003E7C5E"/>
    <w:rsid w:val="003F0077"/>
    <w:rsid w:val="003F0656"/>
    <w:rsid w:val="003F0666"/>
    <w:rsid w:val="003F073C"/>
    <w:rsid w:val="003F0905"/>
    <w:rsid w:val="003F0AF1"/>
    <w:rsid w:val="003F13D9"/>
    <w:rsid w:val="003F148D"/>
    <w:rsid w:val="003F1B6D"/>
    <w:rsid w:val="003F1C93"/>
    <w:rsid w:val="003F1CE5"/>
    <w:rsid w:val="003F1E48"/>
    <w:rsid w:val="003F20B0"/>
    <w:rsid w:val="003F20E2"/>
    <w:rsid w:val="003F2244"/>
    <w:rsid w:val="003F23A7"/>
    <w:rsid w:val="003F2564"/>
    <w:rsid w:val="003F2624"/>
    <w:rsid w:val="003F2711"/>
    <w:rsid w:val="003F2A56"/>
    <w:rsid w:val="003F2A8D"/>
    <w:rsid w:val="003F348A"/>
    <w:rsid w:val="003F4933"/>
    <w:rsid w:val="003F4977"/>
    <w:rsid w:val="003F4A21"/>
    <w:rsid w:val="003F4E1C"/>
    <w:rsid w:val="003F536B"/>
    <w:rsid w:val="003F560A"/>
    <w:rsid w:val="003F586D"/>
    <w:rsid w:val="003F62B4"/>
    <w:rsid w:val="003F62F9"/>
    <w:rsid w:val="003F682D"/>
    <w:rsid w:val="003F6853"/>
    <w:rsid w:val="003F6930"/>
    <w:rsid w:val="003F697D"/>
    <w:rsid w:val="003F6A55"/>
    <w:rsid w:val="003F73A0"/>
    <w:rsid w:val="003F75DD"/>
    <w:rsid w:val="003F7908"/>
    <w:rsid w:val="003F7A7C"/>
    <w:rsid w:val="003F7DFF"/>
    <w:rsid w:val="0040015E"/>
    <w:rsid w:val="00400181"/>
    <w:rsid w:val="004003B0"/>
    <w:rsid w:val="00400427"/>
    <w:rsid w:val="00400615"/>
    <w:rsid w:val="00400AB0"/>
    <w:rsid w:val="00400D86"/>
    <w:rsid w:val="004010EF"/>
    <w:rsid w:val="004017C6"/>
    <w:rsid w:val="00402057"/>
    <w:rsid w:val="004021B5"/>
    <w:rsid w:val="004024AB"/>
    <w:rsid w:val="00402DC4"/>
    <w:rsid w:val="00402F2C"/>
    <w:rsid w:val="0040303D"/>
    <w:rsid w:val="0040360D"/>
    <w:rsid w:val="0040379F"/>
    <w:rsid w:val="00403805"/>
    <w:rsid w:val="00403F25"/>
    <w:rsid w:val="00404011"/>
    <w:rsid w:val="00404707"/>
    <w:rsid w:val="0040495B"/>
    <w:rsid w:val="00404D4D"/>
    <w:rsid w:val="00404FCC"/>
    <w:rsid w:val="00405205"/>
    <w:rsid w:val="00405898"/>
    <w:rsid w:val="00405A9F"/>
    <w:rsid w:val="00405D95"/>
    <w:rsid w:val="00405F90"/>
    <w:rsid w:val="00406108"/>
    <w:rsid w:val="00406412"/>
    <w:rsid w:val="00406589"/>
    <w:rsid w:val="00406D4A"/>
    <w:rsid w:val="00406D9D"/>
    <w:rsid w:val="00406F4B"/>
    <w:rsid w:val="00406FBD"/>
    <w:rsid w:val="004073B0"/>
    <w:rsid w:val="00407612"/>
    <w:rsid w:val="0041029D"/>
    <w:rsid w:val="004102A7"/>
    <w:rsid w:val="00410700"/>
    <w:rsid w:val="00411230"/>
    <w:rsid w:val="00411472"/>
    <w:rsid w:val="00411558"/>
    <w:rsid w:val="004116C3"/>
    <w:rsid w:val="004118C9"/>
    <w:rsid w:val="00412263"/>
    <w:rsid w:val="0041249C"/>
    <w:rsid w:val="00412697"/>
    <w:rsid w:val="00413369"/>
    <w:rsid w:val="004145AE"/>
    <w:rsid w:val="004147F4"/>
    <w:rsid w:val="00414AB1"/>
    <w:rsid w:val="00414C3F"/>
    <w:rsid w:val="0041539C"/>
    <w:rsid w:val="0041577E"/>
    <w:rsid w:val="004157F6"/>
    <w:rsid w:val="004159D3"/>
    <w:rsid w:val="00415A14"/>
    <w:rsid w:val="00416091"/>
    <w:rsid w:val="0041616C"/>
    <w:rsid w:val="0041634C"/>
    <w:rsid w:val="00416A66"/>
    <w:rsid w:val="00416F3B"/>
    <w:rsid w:val="00417241"/>
    <w:rsid w:val="0041743D"/>
    <w:rsid w:val="004174FC"/>
    <w:rsid w:val="00417678"/>
    <w:rsid w:val="00417D10"/>
    <w:rsid w:val="00420126"/>
    <w:rsid w:val="00420249"/>
    <w:rsid w:val="004203CF"/>
    <w:rsid w:val="00420755"/>
    <w:rsid w:val="00420CB7"/>
    <w:rsid w:val="004213C2"/>
    <w:rsid w:val="004213E8"/>
    <w:rsid w:val="0042156E"/>
    <w:rsid w:val="00421EC6"/>
    <w:rsid w:val="004222BF"/>
    <w:rsid w:val="00422A01"/>
    <w:rsid w:val="00422D62"/>
    <w:rsid w:val="00422DB5"/>
    <w:rsid w:val="004232D4"/>
    <w:rsid w:val="00423326"/>
    <w:rsid w:val="0042408B"/>
    <w:rsid w:val="004241DA"/>
    <w:rsid w:val="00424844"/>
    <w:rsid w:val="004251F8"/>
    <w:rsid w:val="004253B1"/>
    <w:rsid w:val="00425C97"/>
    <w:rsid w:val="00425E42"/>
    <w:rsid w:val="00425FFD"/>
    <w:rsid w:val="004262F8"/>
    <w:rsid w:val="00426442"/>
    <w:rsid w:val="0042654A"/>
    <w:rsid w:val="00426A93"/>
    <w:rsid w:val="00426D1A"/>
    <w:rsid w:val="00426DFA"/>
    <w:rsid w:val="004272ED"/>
    <w:rsid w:val="004276E3"/>
    <w:rsid w:val="00427B9D"/>
    <w:rsid w:val="00427BFB"/>
    <w:rsid w:val="00427E67"/>
    <w:rsid w:val="00430178"/>
    <w:rsid w:val="004303B3"/>
    <w:rsid w:val="0043042C"/>
    <w:rsid w:val="00430495"/>
    <w:rsid w:val="0043063B"/>
    <w:rsid w:val="00430733"/>
    <w:rsid w:val="00430D78"/>
    <w:rsid w:val="00431149"/>
    <w:rsid w:val="0043189C"/>
    <w:rsid w:val="004318FF"/>
    <w:rsid w:val="00431CB1"/>
    <w:rsid w:val="00431DB5"/>
    <w:rsid w:val="0043270B"/>
    <w:rsid w:val="00432780"/>
    <w:rsid w:val="00432F8F"/>
    <w:rsid w:val="00432F9E"/>
    <w:rsid w:val="00433106"/>
    <w:rsid w:val="0043359F"/>
    <w:rsid w:val="00433D8A"/>
    <w:rsid w:val="00434066"/>
    <w:rsid w:val="00434754"/>
    <w:rsid w:val="0043480E"/>
    <w:rsid w:val="00434C24"/>
    <w:rsid w:val="00434D46"/>
    <w:rsid w:val="00435235"/>
    <w:rsid w:val="00435248"/>
    <w:rsid w:val="0043542F"/>
    <w:rsid w:val="004355EB"/>
    <w:rsid w:val="00435602"/>
    <w:rsid w:val="004356FA"/>
    <w:rsid w:val="004358F4"/>
    <w:rsid w:val="00435CCF"/>
    <w:rsid w:val="00436696"/>
    <w:rsid w:val="00436A3B"/>
    <w:rsid w:val="00436D7C"/>
    <w:rsid w:val="004371AB"/>
    <w:rsid w:val="00437895"/>
    <w:rsid w:val="00437E77"/>
    <w:rsid w:val="004402A7"/>
    <w:rsid w:val="0044035D"/>
    <w:rsid w:val="00440850"/>
    <w:rsid w:val="00440EA5"/>
    <w:rsid w:val="0044142F"/>
    <w:rsid w:val="0044173B"/>
    <w:rsid w:val="004425C2"/>
    <w:rsid w:val="004426FE"/>
    <w:rsid w:val="00442824"/>
    <w:rsid w:val="00442FFB"/>
    <w:rsid w:val="004430FD"/>
    <w:rsid w:val="00443586"/>
    <w:rsid w:val="004435E2"/>
    <w:rsid w:val="004439AB"/>
    <w:rsid w:val="00443A73"/>
    <w:rsid w:val="00443BC9"/>
    <w:rsid w:val="004442A7"/>
    <w:rsid w:val="00444741"/>
    <w:rsid w:val="00444901"/>
    <w:rsid w:val="00444934"/>
    <w:rsid w:val="00444982"/>
    <w:rsid w:val="00444F5E"/>
    <w:rsid w:val="00445513"/>
    <w:rsid w:val="00445625"/>
    <w:rsid w:val="00445907"/>
    <w:rsid w:val="0044596D"/>
    <w:rsid w:val="00445CFF"/>
    <w:rsid w:val="00445FB3"/>
    <w:rsid w:val="004462AF"/>
    <w:rsid w:val="00446424"/>
    <w:rsid w:val="0044662A"/>
    <w:rsid w:val="004478FA"/>
    <w:rsid w:val="00447FB0"/>
    <w:rsid w:val="004503F9"/>
    <w:rsid w:val="00450778"/>
    <w:rsid w:val="00450D3B"/>
    <w:rsid w:val="0045169D"/>
    <w:rsid w:val="004518D5"/>
    <w:rsid w:val="00451B06"/>
    <w:rsid w:val="00451BEB"/>
    <w:rsid w:val="004520FE"/>
    <w:rsid w:val="004527C0"/>
    <w:rsid w:val="00452D50"/>
    <w:rsid w:val="00453871"/>
    <w:rsid w:val="00453980"/>
    <w:rsid w:val="00453BB4"/>
    <w:rsid w:val="00453DEF"/>
    <w:rsid w:val="004540AC"/>
    <w:rsid w:val="004543E4"/>
    <w:rsid w:val="004548E5"/>
    <w:rsid w:val="00454ACD"/>
    <w:rsid w:val="00454F08"/>
    <w:rsid w:val="00454F85"/>
    <w:rsid w:val="00455105"/>
    <w:rsid w:val="00455E20"/>
    <w:rsid w:val="00456114"/>
    <w:rsid w:val="0045623E"/>
    <w:rsid w:val="00456406"/>
    <w:rsid w:val="00456971"/>
    <w:rsid w:val="00456AC7"/>
    <w:rsid w:val="0045742D"/>
    <w:rsid w:val="00457C5E"/>
    <w:rsid w:val="0046026D"/>
    <w:rsid w:val="0046027A"/>
    <w:rsid w:val="00460535"/>
    <w:rsid w:val="004605CC"/>
    <w:rsid w:val="0046072D"/>
    <w:rsid w:val="00460921"/>
    <w:rsid w:val="00460958"/>
    <w:rsid w:val="00460DF0"/>
    <w:rsid w:val="0046110A"/>
    <w:rsid w:val="004612C8"/>
    <w:rsid w:val="0046136B"/>
    <w:rsid w:val="004614A1"/>
    <w:rsid w:val="0046164D"/>
    <w:rsid w:val="004616E5"/>
    <w:rsid w:val="004616FF"/>
    <w:rsid w:val="0046194F"/>
    <w:rsid w:val="00461C00"/>
    <w:rsid w:val="004622A1"/>
    <w:rsid w:val="004622D0"/>
    <w:rsid w:val="00462420"/>
    <w:rsid w:val="0046260A"/>
    <w:rsid w:val="0046287B"/>
    <w:rsid w:val="00462B09"/>
    <w:rsid w:val="00462B31"/>
    <w:rsid w:val="004630D5"/>
    <w:rsid w:val="00463337"/>
    <w:rsid w:val="00463448"/>
    <w:rsid w:val="004636FA"/>
    <w:rsid w:val="00463F17"/>
    <w:rsid w:val="0046400B"/>
    <w:rsid w:val="004641A0"/>
    <w:rsid w:val="0046434B"/>
    <w:rsid w:val="00464A82"/>
    <w:rsid w:val="00464EE0"/>
    <w:rsid w:val="00465158"/>
    <w:rsid w:val="00465180"/>
    <w:rsid w:val="00465235"/>
    <w:rsid w:val="00465467"/>
    <w:rsid w:val="00465573"/>
    <w:rsid w:val="00465A81"/>
    <w:rsid w:val="00465EB3"/>
    <w:rsid w:val="0047041E"/>
    <w:rsid w:val="0047045E"/>
    <w:rsid w:val="00470628"/>
    <w:rsid w:val="00470750"/>
    <w:rsid w:val="00470893"/>
    <w:rsid w:val="00470A49"/>
    <w:rsid w:val="0047166D"/>
    <w:rsid w:val="00471856"/>
    <w:rsid w:val="00471DB0"/>
    <w:rsid w:val="00471FAB"/>
    <w:rsid w:val="0047253B"/>
    <w:rsid w:val="00472ACB"/>
    <w:rsid w:val="004735E8"/>
    <w:rsid w:val="004737D3"/>
    <w:rsid w:val="00473F5F"/>
    <w:rsid w:val="0047410D"/>
    <w:rsid w:val="0047475B"/>
    <w:rsid w:val="00475260"/>
    <w:rsid w:val="0047539C"/>
    <w:rsid w:val="004753D8"/>
    <w:rsid w:val="004755D5"/>
    <w:rsid w:val="00475674"/>
    <w:rsid w:val="00475BC8"/>
    <w:rsid w:val="00475D13"/>
    <w:rsid w:val="00475E50"/>
    <w:rsid w:val="00475E54"/>
    <w:rsid w:val="00475F90"/>
    <w:rsid w:val="00476549"/>
    <w:rsid w:val="00476D14"/>
    <w:rsid w:val="00476D8B"/>
    <w:rsid w:val="00476E27"/>
    <w:rsid w:val="00476E98"/>
    <w:rsid w:val="00476EAE"/>
    <w:rsid w:val="004774C5"/>
    <w:rsid w:val="004775ED"/>
    <w:rsid w:val="004778C0"/>
    <w:rsid w:val="00477B60"/>
    <w:rsid w:val="0048032D"/>
    <w:rsid w:val="00480B03"/>
    <w:rsid w:val="00480C70"/>
    <w:rsid w:val="00480CC5"/>
    <w:rsid w:val="004810EC"/>
    <w:rsid w:val="0048129B"/>
    <w:rsid w:val="00481607"/>
    <w:rsid w:val="00481611"/>
    <w:rsid w:val="004818FF"/>
    <w:rsid w:val="0048215F"/>
    <w:rsid w:val="00482389"/>
    <w:rsid w:val="00482943"/>
    <w:rsid w:val="00482ADC"/>
    <w:rsid w:val="00482C93"/>
    <w:rsid w:val="00482F79"/>
    <w:rsid w:val="00483269"/>
    <w:rsid w:val="00483D11"/>
    <w:rsid w:val="00483D20"/>
    <w:rsid w:val="0048406D"/>
    <w:rsid w:val="00484C46"/>
    <w:rsid w:val="00484DC1"/>
    <w:rsid w:val="0048542B"/>
    <w:rsid w:val="004856EF"/>
    <w:rsid w:val="0048598C"/>
    <w:rsid w:val="00485998"/>
    <w:rsid w:val="00485A0B"/>
    <w:rsid w:val="00485E8A"/>
    <w:rsid w:val="004862DE"/>
    <w:rsid w:val="004864FB"/>
    <w:rsid w:val="004869B5"/>
    <w:rsid w:val="00487866"/>
    <w:rsid w:val="00487F28"/>
    <w:rsid w:val="00490185"/>
    <w:rsid w:val="00490532"/>
    <w:rsid w:val="00490649"/>
    <w:rsid w:val="0049093B"/>
    <w:rsid w:val="00490E94"/>
    <w:rsid w:val="00490EE3"/>
    <w:rsid w:val="004911FB"/>
    <w:rsid w:val="00491294"/>
    <w:rsid w:val="0049143D"/>
    <w:rsid w:val="004917C1"/>
    <w:rsid w:val="004918A0"/>
    <w:rsid w:val="004924E5"/>
    <w:rsid w:val="00492597"/>
    <w:rsid w:val="00492619"/>
    <w:rsid w:val="004927F3"/>
    <w:rsid w:val="00492C2F"/>
    <w:rsid w:val="0049349F"/>
    <w:rsid w:val="004935A4"/>
    <w:rsid w:val="004938AA"/>
    <w:rsid w:val="00493D08"/>
    <w:rsid w:val="004949D8"/>
    <w:rsid w:val="00494E75"/>
    <w:rsid w:val="00495071"/>
    <w:rsid w:val="004961DB"/>
    <w:rsid w:val="0049653E"/>
    <w:rsid w:val="00496BEF"/>
    <w:rsid w:val="00496DC2"/>
    <w:rsid w:val="00496E38"/>
    <w:rsid w:val="00497C03"/>
    <w:rsid w:val="004A01E1"/>
    <w:rsid w:val="004A0E00"/>
    <w:rsid w:val="004A15F7"/>
    <w:rsid w:val="004A1600"/>
    <w:rsid w:val="004A1AE5"/>
    <w:rsid w:val="004A1C63"/>
    <w:rsid w:val="004A1DAA"/>
    <w:rsid w:val="004A201F"/>
    <w:rsid w:val="004A23B8"/>
    <w:rsid w:val="004A23C0"/>
    <w:rsid w:val="004A28D4"/>
    <w:rsid w:val="004A2908"/>
    <w:rsid w:val="004A2A24"/>
    <w:rsid w:val="004A2BE1"/>
    <w:rsid w:val="004A2E44"/>
    <w:rsid w:val="004A30BF"/>
    <w:rsid w:val="004A328E"/>
    <w:rsid w:val="004A32C1"/>
    <w:rsid w:val="004A366E"/>
    <w:rsid w:val="004A36C0"/>
    <w:rsid w:val="004A3AA3"/>
    <w:rsid w:val="004A3CB9"/>
    <w:rsid w:val="004A4214"/>
    <w:rsid w:val="004A4625"/>
    <w:rsid w:val="004A4900"/>
    <w:rsid w:val="004A4D38"/>
    <w:rsid w:val="004A4E7E"/>
    <w:rsid w:val="004A4E95"/>
    <w:rsid w:val="004A4EB4"/>
    <w:rsid w:val="004A51FA"/>
    <w:rsid w:val="004A5270"/>
    <w:rsid w:val="004A57FC"/>
    <w:rsid w:val="004A5D36"/>
    <w:rsid w:val="004A705C"/>
    <w:rsid w:val="004A7172"/>
    <w:rsid w:val="004A7276"/>
    <w:rsid w:val="004A746B"/>
    <w:rsid w:val="004A770C"/>
    <w:rsid w:val="004A7C0D"/>
    <w:rsid w:val="004A7EE7"/>
    <w:rsid w:val="004A7FB0"/>
    <w:rsid w:val="004B0706"/>
    <w:rsid w:val="004B0780"/>
    <w:rsid w:val="004B0787"/>
    <w:rsid w:val="004B1313"/>
    <w:rsid w:val="004B169E"/>
    <w:rsid w:val="004B19BB"/>
    <w:rsid w:val="004B1C42"/>
    <w:rsid w:val="004B24DB"/>
    <w:rsid w:val="004B269E"/>
    <w:rsid w:val="004B2700"/>
    <w:rsid w:val="004B2B31"/>
    <w:rsid w:val="004B2C33"/>
    <w:rsid w:val="004B2CDB"/>
    <w:rsid w:val="004B2DE8"/>
    <w:rsid w:val="004B2F6E"/>
    <w:rsid w:val="004B3C3F"/>
    <w:rsid w:val="004B45A2"/>
    <w:rsid w:val="004B46C3"/>
    <w:rsid w:val="004B4789"/>
    <w:rsid w:val="004B4A0F"/>
    <w:rsid w:val="004B4F6B"/>
    <w:rsid w:val="004B50E0"/>
    <w:rsid w:val="004B50E8"/>
    <w:rsid w:val="004B55EC"/>
    <w:rsid w:val="004B6301"/>
    <w:rsid w:val="004B6FFB"/>
    <w:rsid w:val="004B7311"/>
    <w:rsid w:val="004B795F"/>
    <w:rsid w:val="004B7BA5"/>
    <w:rsid w:val="004C0346"/>
    <w:rsid w:val="004C0B5B"/>
    <w:rsid w:val="004C0B9A"/>
    <w:rsid w:val="004C0C5C"/>
    <w:rsid w:val="004C0F99"/>
    <w:rsid w:val="004C130D"/>
    <w:rsid w:val="004C1624"/>
    <w:rsid w:val="004C18BF"/>
    <w:rsid w:val="004C18E0"/>
    <w:rsid w:val="004C19E4"/>
    <w:rsid w:val="004C2371"/>
    <w:rsid w:val="004C2F01"/>
    <w:rsid w:val="004C3472"/>
    <w:rsid w:val="004C34E8"/>
    <w:rsid w:val="004C3AD1"/>
    <w:rsid w:val="004C3C51"/>
    <w:rsid w:val="004C47FE"/>
    <w:rsid w:val="004C4B36"/>
    <w:rsid w:val="004C4BCE"/>
    <w:rsid w:val="004C4BF3"/>
    <w:rsid w:val="004C4F33"/>
    <w:rsid w:val="004C521E"/>
    <w:rsid w:val="004C5283"/>
    <w:rsid w:val="004C566C"/>
    <w:rsid w:val="004C5C44"/>
    <w:rsid w:val="004C5EF0"/>
    <w:rsid w:val="004C63D6"/>
    <w:rsid w:val="004C660B"/>
    <w:rsid w:val="004C730E"/>
    <w:rsid w:val="004C7739"/>
    <w:rsid w:val="004C7BDF"/>
    <w:rsid w:val="004D0328"/>
    <w:rsid w:val="004D0E42"/>
    <w:rsid w:val="004D0FA5"/>
    <w:rsid w:val="004D1059"/>
    <w:rsid w:val="004D17E6"/>
    <w:rsid w:val="004D1A33"/>
    <w:rsid w:val="004D1C2E"/>
    <w:rsid w:val="004D1C35"/>
    <w:rsid w:val="004D1D64"/>
    <w:rsid w:val="004D1DBB"/>
    <w:rsid w:val="004D1F7A"/>
    <w:rsid w:val="004D2474"/>
    <w:rsid w:val="004D27C4"/>
    <w:rsid w:val="004D2E57"/>
    <w:rsid w:val="004D30AD"/>
    <w:rsid w:val="004D3251"/>
    <w:rsid w:val="004D3403"/>
    <w:rsid w:val="004D39CA"/>
    <w:rsid w:val="004D40D5"/>
    <w:rsid w:val="004D4797"/>
    <w:rsid w:val="004D4968"/>
    <w:rsid w:val="004D4A8A"/>
    <w:rsid w:val="004D4ABF"/>
    <w:rsid w:val="004D50CC"/>
    <w:rsid w:val="004D58D1"/>
    <w:rsid w:val="004D5F02"/>
    <w:rsid w:val="004D602D"/>
    <w:rsid w:val="004D65BA"/>
    <w:rsid w:val="004D68C0"/>
    <w:rsid w:val="004D70E1"/>
    <w:rsid w:val="004D710C"/>
    <w:rsid w:val="004E0033"/>
    <w:rsid w:val="004E00F1"/>
    <w:rsid w:val="004E03BE"/>
    <w:rsid w:val="004E071E"/>
    <w:rsid w:val="004E0CD0"/>
    <w:rsid w:val="004E1260"/>
    <w:rsid w:val="004E1CBB"/>
    <w:rsid w:val="004E1D07"/>
    <w:rsid w:val="004E209D"/>
    <w:rsid w:val="004E21D3"/>
    <w:rsid w:val="004E2E33"/>
    <w:rsid w:val="004E2F51"/>
    <w:rsid w:val="004E3579"/>
    <w:rsid w:val="004E3892"/>
    <w:rsid w:val="004E3B0E"/>
    <w:rsid w:val="004E3FD8"/>
    <w:rsid w:val="004E471C"/>
    <w:rsid w:val="004E4EF1"/>
    <w:rsid w:val="004E524E"/>
    <w:rsid w:val="004E53AE"/>
    <w:rsid w:val="004E5449"/>
    <w:rsid w:val="004E5710"/>
    <w:rsid w:val="004E5788"/>
    <w:rsid w:val="004E5C61"/>
    <w:rsid w:val="004E6158"/>
    <w:rsid w:val="004E6184"/>
    <w:rsid w:val="004E6463"/>
    <w:rsid w:val="004E6CEA"/>
    <w:rsid w:val="004E6EAC"/>
    <w:rsid w:val="004E6F18"/>
    <w:rsid w:val="004E76A5"/>
    <w:rsid w:val="004E7B18"/>
    <w:rsid w:val="004E7B7F"/>
    <w:rsid w:val="004E7C11"/>
    <w:rsid w:val="004E7C85"/>
    <w:rsid w:val="004F01B4"/>
    <w:rsid w:val="004F020A"/>
    <w:rsid w:val="004F02AB"/>
    <w:rsid w:val="004F133C"/>
    <w:rsid w:val="004F13D2"/>
    <w:rsid w:val="004F1443"/>
    <w:rsid w:val="004F152A"/>
    <w:rsid w:val="004F1633"/>
    <w:rsid w:val="004F180E"/>
    <w:rsid w:val="004F18ED"/>
    <w:rsid w:val="004F1A00"/>
    <w:rsid w:val="004F1AEF"/>
    <w:rsid w:val="004F20AA"/>
    <w:rsid w:val="004F2826"/>
    <w:rsid w:val="004F2AA6"/>
    <w:rsid w:val="004F2B9C"/>
    <w:rsid w:val="004F2CCE"/>
    <w:rsid w:val="004F3368"/>
    <w:rsid w:val="004F3546"/>
    <w:rsid w:val="004F359A"/>
    <w:rsid w:val="004F3DD1"/>
    <w:rsid w:val="004F4E53"/>
    <w:rsid w:val="004F58AB"/>
    <w:rsid w:val="004F5D4A"/>
    <w:rsid w:val="004F5D6E"/>
    <w:rsid w:val="004F5EBB"/>
    <w:rsid w:val="004F6142"/>
    <w:rsid w:val="004F6AFE"/>
    <w:rsid w:val="004F6F20"/>
    <w:rsid w:val="004F735F"/>
    <w:rsid w:val="004F7373"/>
    <w:rsid w:val="004F73A5"/>
    <w:rsid w:val="004F76A6"/>
    <w:rsid w:val="004F7C51"/>
    <w:rsid w:val="004F7F1A"/>
    <w:rsid w:val="0050031C"/>
    <w:rsid w:val="005004F7"/>
    <w:rsid w:val="00500798"/>
    <w:rsid w:val="005007E7"/>
    <w:rsid w:val="00500946"/>
    <w:rsid w:val="00500A59"/>
    <w:rsid w:val="0050132F"/>
    <w:rsid w:val="00501723"/>
    <w:rsid w:val="00501A8C"/>
    <w:rsid w:val="00501D6C"/>
    <w:rsid w:val="00501F0D"/>
    <w:rsid w:val="005023DC"/>
    <w:rsid w:val="00502857"/>
    <w:rsid w:val="005029A2"/>
    <w:rsid w:val="00502FCA"/>
    <w:rsid w:val="005033EE"/>
    <w:rsid w:val="0050377B"/>
    <w:rsid w:val="005038A7"/>
    <w:rsid w:val="0050398B"/>
    <w:rsid w:val="00503FAD"/>
    <w:rsid w:val="00504639"/>
    <w:rsid w:val="00504BF5"/>
    <w:rsid w:val="00504C77"/>
    <w:rsid w:val="00504CBB"/>
    <w:rsid w:val="00504D9B"/>
    <w:rsid w:val="00504F81"/>
    <w:rsid w:val="005050E7"/>
    <w:rsid w:val="00505533"/>
    <w:rsid w:val="005055D4"/>
    <w:rsid w:val="005057FB"/>
    <w:rsid w:val="00505A2A"/>
    <w:rsid w:val="00505B7C"/>
    <w:rsid w:val="00505E28"/>
    <w:rsid w:val="00505E39"/>
    <w:rsid w:val="0050614B"/>
    <w:rsid w:val="005063A6"/>
    <w:rsid w:val="005064CB"/>
    <w:rsid w:val="00506571"/>
    <w:rsid w:val="0050680A"/>
    <w:rsid w:val="0050685C"/>
    <w:rsid w:val="005068F0"/>
    <w:rsid w:val="00506A8D"/>
    <w:rsid w:val="00506B00"/>
    <w:rsid w:val="00506C2E"/>
    <w:rsid w:val="00506D5A"/>
    <w:rsid w:val="005074C9"/>
    <w:rsid w:val="00507754"/>
    <w:rsid w:val="00507CAF"/>
    <w:rsid w:val="00510374"/>
    <w:rsid w:val="00510444"/>
    <w:rsid w:val="00510626"/>
    <w:rsid w:val="00510CE2"/>
    <w:rsid w:val="00511599"/>
    <w:rsid w:val="005119D6"/>
    <w:rsid w:val="00511E67"/>
    <w:rsid w:val="00512747"/>
    <w:rsid w:val="00512A7B"/>
    <w:rsid w:val="00512D39"/>
    <w:rsid w:val="00513B8C"/>
    <w:rsid w:val="00513F8F"/>
    <w:rsid w:val="005147E7"/>
    <w:rsid w:val="005149A2"/>
    <w:rsid w:val="00514CEE"/>
    <w:rsid w:val="005150E4"/>
    <w:rsid w:val="0051548D"/>
    <w:rsid w:val="00515507"/>
    <w:rsid w:val="00515708"/>
    <w:rsid w:val="00515746"/>
    <w:rsid w:val="00515907"/>
    <w:rsid w:val="00515E2B"/>
    <w:rsid w:val="00516B96"/>
    <w:rsid w:val="00516E9E"/>
    <w:rsid w:val="00516EB8"/>
    <w:rsid w:val="005173A4"/>
    <w:rsid w:val="005179DC"/>
    <w:rsid w:val="0052001B"/>
    <w:rsid w:val="00520AE3"/>
    <w:rsid w:val="00521294"/>
    <w:rsid w:val="0052173F"/>
    <w:rsid w:val="00521B34"/>
    <w:rsid w:val="00521D65"/>
    <w:rsid w:val="005221A4"/>
    <w:rsid w:val="00523366"/>
    <w:rsid w:val="0052381F"/>
    <w:rsid w:val="00523E18"/>
    <w:rsid w:val="00523F32"/>
    <w:rsid w:val="0052422C"/>
    <w:rsid w:val="005242C4"/>
    <w:rsid w:val="005244D5"/>
    <w:rsid w:val="00524AD1"/>
    <w:rsid w:val="00524AE9"/>
    <w:rsid w:val="00524E6A"/>
    <w:rsid w:val="005251DA"/>
    <w:rsid w:val="00525407"/>
    <w:rsid w:val="00525F71"/>
    <w:rsid w:val="00526270"/>
    <w:rsid w:val="005269C2"/>
    <w:rsid w:val="00526A5E"/>
    <w:rsid w:val="00526C8A"/>
    <w:rsid w:val="005272A8"/>
    <w:rsid w:val="00527489"/>
    <w:rsid w:val="00527860"/>
    <w:rsid w:val="00527A58"/>
    <w:rsid w:val="0053012B"/>
    <w:rsid w:val="0053037A"/>
    <w:rsid w:val="0053066C"/>
    <w:rsid w:val="005306C5"/>
    <w:rsid w:val="00530AFD"/>
    <w:rsid w:val="00531562"/>
    <w:rsid w:val="0053173A"/>
    <w:rsid w:val="00531824"/>
    <w:rsid w:val="00531AF4"/>
    <w:rsid w:val="00531EA2"/>
    <w:rsid w:val="00531F71"/>
    <w:rsid w:val="00532292"/>
    <w:rsid w:val="00532462"/>
    <w:rsid w:val="0053268B"/>
    <w:rsid w:val="005328D8"/>
    <w:rsid w:val="00532B16"/>
    <w:rsid w:val="00532C9D"/>
    <w:rsid w:val="00533215"/>
    <w:rsid w:val="00533425"/>
    <w:rsid w:val="005334E4"/>
    <w:rsid w:val="00533C61"/>
    <w:rsid w:val="00533F4E"/>
    <w:rsid w:val="005347FB"/>
    <w:rsid w:val="00534963"/>
    <w:rsid w:val="005349EB"/>
    <w:rsid w:val="00534AA6"/>
    <w:rsid w:val="00534C83"/>
    <w:rsid w:val="00534EE4"/>
    <w:rsid w:val="00535A27"/>
    <w:rsid w:val="00535B60"/>
    <w:rsid w:val="00536195"/>
    <w:rsid w:val="00536AEE"/>
    <w:rsid w:val="00536D47"/>
    <w:rsid w:val="00537092"/>
    <w:rsid w:val="00537640"/>
    <w:rsid w:val="00537989"/>
    <w:rsid w:val="00537BE9"/>
    <w:rsid w:val="00540055"/>
    <w:rsid w:val="00540147"/>
    <w:rsid w:val="00540725"/>
    <w:rsid w:val="005408AA"/>
    <w:rsid w:val="00540C7A"/>
    <w:rsid w:val="005417A0"/>
    <w:rsid w:val="0054183A"/>
    <w:rsid w:val="00541D0D"/>
    <w:rsid w:val="00541E2B"/>
    <w:rsid w:val="0054340E"/>
    <w:rsid w:val="0054348B"/>
    <w:rsid w:val="005436D7"/>
    <w:rsid w:val="00543703"/>
    <w:rsid w:val="00543A06"/>
    <w:rsid w:val="00543A66"/>
    <w:rsid w:val="00543A83"/>
    <w:rsid w:val="00543B1F"/>
    <w:rsid w:val="00543FA3"/>
    <w:rsid w:val="00544899"/>
    <w:rsid w:val="005452C0"/>
    <w:rsid w:val="0054556F"/>
    <w:rsid w:val="005456AD"/>
    <w:rsid w:val="00545C3D"/>
    <w:rsid w:val="00545E6A"/>
    <w:rsid w:val="00546310"/>
    <w:rsid w:val="00546738"/>
    <w:rsid w:val="005467D6"/>
    <w:rsid w:val="00546942"/>
    <w:rsid w:val="00546CDA"/>
    <w:rsid w:val="00546D63"/>
    <w:rsid w:val="005471A3"/>
    <w:rsid w:val="00547D9B"/>
    <w:rsid w:val="00547F14"/>
    <w:rsid w:val="0055088A"/>
    <w:rsid w:val="00550D6F"/>
    <w:rsid w:val="005511B1"/>
    <w:rsid w:val="00551248"/>
    <w:rsid w:val="00551483"/>
    <w:rsid w:val="0055157F"/>
    <w:rsid w:val="00551593"/>
    <w:rsid w:val="00551E52"/>
    <w:rsid w:val="00552038"/>
    <w:rsid w:val="0055233E"/>
    <w:rsid w:val="00552569"/>
    <w:rsid w:val="005528E1"/>
    <w:rsid w:val="00552E20"/>
    <w:rsid w:val="00552FF4"/>
    <w:rsid w:val="00553777"/>
    <w:rsid w:val="00553A48"/>
    <w:rsid w:val="00553ABB"/>
    <w:rsid w:val="0055410A"/>
    <w:rsid w:val="005546A4"/>
    <w:rsid w:val="005547CB"/>
    <w:rsid w:val="00554DF7"/>
    <w:rsid w:val="005552B9"/>
    <w:rsid w:val="00555520"/>
    <w:rsid w:val="00555713"/>
    <w:rsid w:val="00555772"/>
    <w:rsid w:val="00555A5C"/>
    <w:rsid w:val="00555D6F"/>
    <w:rsid w:val="00556680"/>
    <w:rsid w:val="005567BF"/>
    <w:rsid w:val="005569D2"/>
    <w:rsid w:val="00556CA4"/>
    <w:rsid w:val="005570E7"/>
    <w:rsid w:val="0055718D"/>
    <w:rsid w:val="00557464"/>
    <w:rsid w:val="0055771C"/>
    <w:rsid w:val="00557A2C"/>
    <w:rsid w:val="00557CAB"/>
    <w:rsid w:val="00557D87"/>
    <w:rsid w:val="00557EE4"/>
    <w:rsid w:val="00560AC9"/>
    <w:rsid w:val="00561250"/>
    <w:rsid w:val="0056134D"/>
    <w:rsid w:val="00561A95"/>
    <w:rsid w:val="00561BF6"/>
    <w:rsid w:val="00562757"/>
    <w:rsid w:val="005627C0"/>
    <w:rsid w:val="00562CDC"/>
    <w:rsid w:val="00563FD2"/>
    <w:rsid w:val="0056434D"/>
    <w:rsid w:val="00564597"/>
    <w:rsid w:val="00564EB9"/>
    <w:rsid w:val="00564ED1"/>
    <w:rsid w:val="00565321"/>
    <w:rsid w:val="00566C25"/>
    <w:rsid w:val="0056719E"/>
    <w:rsid w:val="005676F8"/>
    <w:rsid w:val="00567B3B"/>
    <w:rsid w:val="00567B75"/>
    <w:rsid w:val="005701C5"/>
    <w:rsid w:val="0057021C"/>
    <w:rsid w:val="0057025F"/>
    <w:rsid w:val="005703E3"/>
    <w:rsid w:val="0057054C"/>
    <w:rsid w:val="00570764"/>
    <w:rsid w:val="0057088B"/>
    <w:rsid w:val="005708C3"/>
    <w:rsid w:val="005708C6"/>
    <w:rsid w:val="00570C83"/>
    <w:rsid w:val="00570EF6"/>
    <w:rsid w:val="00571358"/>
    <w:rsid w:val="00571382"/>
    <w:rsid w:val="005713EF"/>
    <w:rsid w:val="0057195D"/>
    <w:rsid w:val="005719F4"/>
    <w:rsid w:val="00571B71"/>
    <w:rsid w:val="0057229E"/>
    <w:rsid w:val="00572583"/>
    <w:rsid w:val="00572643"/>
    <w:rsid w:val="00572995"/>
    <w:rsid w:val="005729A6"/>
    <w:rsid w:val="00572F26"/>
    <w:rsid w:val="005730FF"/>
    <w:rsid w:val="0057380A"/>
    <w:rsid w:val="00573BB0"/>
    <w:rsid w:val="00573D2B"/>
    <w:rsid w:val="00573F24"/>
    <w:rsid w:val="00574167"/>
    <w:rsid w:val="00574D14"/>
    <w:rsid w:val="00574FDC"/>
    <w:rsid w:val="005753CA"/>
    <w:rsid w:val="005753DB"/>
    <w:rsid w:val="005756BD"/>
    <w:rsid w:val="00575E09"/>
    <w:rsid w:val="005760C5"/>
    <w:rsid w:val="0057621D"/>
    <w:rsid w:val="005766EA"/>
    <w:rsid w:val="00576903"/>
    <w:rsid w:val="00576A37"/>
    <w:rsid w:val="00577368"/>
    <w:rsid w:val="005773FF"/>
    <w:rsid w:val="00577540"/>
    <w:rsid w:val="005777AC"/>
    <w:rsid w:val="00577E83"/>
    <w:rsid w:val="00577EB4"/>
    <w:rsid w:val="00580F52"/>
    <w:rsid w:val="00581081"/>
    <w:rsid w:val="005815D2"/>
    <w:rsid w:val="005818D4"/>
    <w:rsid w:val="005819D7"/>
    <w:rsid w:val="00581AB8"/>
    <w:rsid w:val="00581C6E"/>
    <w:rsid w:val="00581F40"/>
    <w:rsid w:val="005829CC"/>
    <w:rsid w:val="00582E3D"/>
    <w:rsid w:val="00583147"/>
    <w:rsid w:val="005836D0"/>
    <w:rsid w:val="00583DEF"/>
    <w:rsid w:val="00583E78"/>
    <w:rsid w:val="00584496"/>
    <w:rsid w:val="005852AA"/>
    <w:rsid w:val="00585867"/>
    <w:rsid w:val="00585C3A"/>
    <w:rsid w:val="00586013"/>
    <w:rsid w:val="0058628A"/>
    <w:rsid w:val="00586B34"/>
    <w:rsid w:val="00587117"/>
    <w:rsid w:val="0058759B"/>
    <w:rsid w:val="0058764D"/>
    <w:rsid w:val="005909AD"/>
    <w:rsid w:val="00590BF6"/>
    <w:rsid w:val="00591B9C"/>
    <w:rsid w:val="00591C29"/>
    <w:rsid w:val="00592160"/>
    <w:rsid w:val="005923C9"/>
    <w:rsid w:val="0059284F"/>
    <w:rsid w:val="00592E68"/>
    <w:rsid w:val="0059323A"/>
    <w:rsid w:val="00593447"/>
    <w:rsid w:val="00594131"/>
    <w:rsid w:val="005943C6"/>
    <w:rsid w:val="005946E2"/>
    <w:rsid w:val="0059478F"/>
    <w:rsid w:val="0059486C"/>
    <w:rsid w:val="00595308"/>
    <w:rsid w:val="00595777"/>
    <w:rsid w:val="00595DA2"/>
    <w:rsid w:val="00595E51"/>
    <w:rsid w:val="00595E99"/>
    <w:rsid w:val="00596308"/>
    <w:rsid w:val="0059634D"/>
    <w:rsid w:val="005968C4"/>
    <w:rsid w:val="0059715B"/>
    <w:rsid w:val="00597605"/>
    <w:rsid w:val="005978AF"/>
    <w:rsid w:val="00597A36"/>
    <w:rsid w:val="00597DF6"/>
    <w:rsid w:val="00597FAA"/>
    <w:rsid w:val="005A0274"/>
    <w:rsid w:val="005A049F"/>
    <w:rsid w:val="005A05C6"/>
    <w:rsid w:val="005A0753"/>
    <w:rsid w:val="005A0854"/>
    <w:rsid w:val="005A0CB6"/>
    <w:rsid w:val="005A0E88"/>
    <w:rsid w:val="005A0EFD"/>
    <w:rsid w:val="005A1242"/>
    <w:rsid w:val="005A14AD"/>
    <w:rsid w:val="005A18F9"/>
    <w:rsid w:val="005A1AA7"/>
    <w:rsid w:val="005A1BAF"/>
    <w:rsid w:val="005A1C03"/>
    <w:rsid w:val="005A1CC6"/>
    <w:rsid w:val="005A2229"/>
    <w:rsid w:val="005A23BE"/>
    <w:rsid w:val="005A320D"/>
    <w:rsid w:val="005A36E3"/>
    <w:rsid w:val="005A3A31"/>
    <w:rsid w:val="005A416C"/>
    <w:rsid w:val="005A54DF"/>
    <w:rsid w:val="005A588D"/>
    <w:rsid w:val="005A59CF"/>
    <w:rsid w:val="005A6223"/>
    <w:rsid w:val="005A6A3A"/>
    <w:rsid w:val="005A6E87"/>
    <w:rsid w:val="005A7F72"/>
    <w:rsid w:val="005B0424"/>
    <w:rsid w:val="005B05DB"/>
    <w:rsid w:val="005B0A7D"/>
    <w:rsid w:val="005B0F18"/>
    <w:rsid w:val="005B1197"/>
    <w:rsid w:val="005B16CC"/>
    <w:rsid w:val="005B18BB"/>
    <w:rsid w:val="005B2899"/>
    <w:rsid w:val="005B2DA2"/>
    <w:rsid w:val="005B2EB8"/>
    <w:rsid w:val="005B355C"/>
    <w:rsid w:val="005B3C7C"/>
    <w:rsid w:val="005B411A"/>
    <w:rsid w:val="005B4911"/>
    <w:rsid w:val="005B4C5C"/>
    <w:rsid w:val="005B4C83"/>
    <w:rsid w:val="005B4E83"/>
    <w:rsid w:val="005B5082"/>
    <w:rsid w:val="005B50EF"/>
    <w:rsid w:val="005B5152"/>
    <w:rsid w:val="005B5425"/>
    <w:rsid w:val="005B54FE"/>
    <w:rsid w:val="005B5A40"/>
    <w:rsid w:val="005B5A55"/>
    <w:rsid w:val="005B5FC4"/>
    <w:rsid w:val="005B6FAE"/>
    <w:rsid w:val="005B703E"/>
    <w:rsid w:val="005B7824"/>
    <w:rsid w:val="005B7A4C"/>
    <w:rsid w:val="005B7A5C"/>
    <w:rsid w:val="005C001C"/>
    <w:rsid w:val="005C01BD"/>
    <w:rsid w:val="005C0625"/>
    <w:rsid w:val="005C0904"/>
    <w:rsid w:val="005C09BF"/>
    <w:rsid w:val="005C0B24"/>
    <w:rsid w:val="005C0D61"/>
    <w:rsid w:val="005C0DDE"/>
    <w:rsid w:val="005C1225"/>
    <w:rsid w:val="005C132F"/>
    <w:rsid w:val="005C1752"/>
    <w:rsid w:val="005C1BF2"/>
    <w:rsid w:val="005C2144"/>
    <w:rsid w:val="005C247C"/>
    <w:rsid w:val="005C2D32"/>
    <w:rsid w:val="005C3022"/>
    <w:rsid w:val="005C33CE"/>
    <w:rsid w:val="005C376D"/>
    <w:rsid w:val="005C46D7"/>
    <w:rsid w:val="005C4B4D"/>
    <w:rsid w:val="005C4CD6"/>
    <w:rsid w:val="005C4DE3"/>
    <w:rsid w:val="005C5024"/>
    <w:rsid w:val="005C5372"/>
    <w:rsid w:val="005C5379"/>
    <w:rsid w:val="005C537D"/>
    <w:rsid w:val="005C5425"/>
    <w:rsid w:val="005C5849"/>
    <w:rsid w:val="005C5A28"/>
    <w:rsid w:val="005C6222"/>
    <w:rsid w:val="005C6B26"/>
    <w:rsid w:val="005C772B"/>
    <w:rsid w:val="005C7A54"/>
    <w:rsid w:val="005C7CAD"/>
    <w:rsid w:val="005C7CF2"/>
    <w:rsid w:val="005C7EF8"/>
    <w:rsid w:val="005D01D7"/>
    <w:rsid w:val="005D02FA"/>
    <w:rsid w:val="005D047B"/>
    <w:rsid w:val="005D0790"/>
    <w:rsid w:val="005D0D3E"/>
    <w:rsid w:val="005D17BF"/>
    <w:rsid w:val="005D17F9"/>
    <w:rsid w:val="005D18B1"/>
    <w:rsid w:val="005D1A65"/>
    <w:rsid w:val="005D20FC"/>
    <w:rsid w:val="005D24A2"/>
    <w:rsid w:val="005D25D7"/>
    <w:rsid w:val="005D2A49"/>
    <w:rsid w:val="005D2CB0"/>
    <w:rsid w:val="005D2EE8"/>
    <w:rsid w:val="005D3534"/>
    <w:rsid w:val="005D3707"/>
    <w:rsid w:val="005D382F"/>
    <w:rsid w:val="005D3AF0"/>
    <w:rsid w:val="005D3BFD"/>
    <w:rsid w:val="005D46E9"/>
    <w:rsid w:val="005D5012"/>
    <w:rsid w:val="005D5E46"/>
    <w:rsid w:val="005D609E"/>
    <w:rsid w:val="005D64A5"/>
    <w:rsid w:val="005D6929"/>
    <w:rsid w:val="005D69D5"/>
    <w:rsid w:val="005D6B30"/>
    <w:rsid w:val="005D6E1C"/>
    <w:rsid w:val="005D7458"/>
    <w:rsid w:val="005D7539"/>
    <w:rsid w:val="005D76F4"/>
    <w:rsid w:val="005D7E04"/>
    <w:rsid w:val="005E0082"/>
    <w:rsid w:val="005E06E1"/>
    <w:rsid w:val="005E0899"/>
    <w:rsid w:val="005E1393"/>
    <w:rsid w:val="005E1411"/>
    <w:rsid w:val="005E18CE"/>
    <w:rsid w:val="005E3035"/>
    <w:rsid w:val="005E35FD"/>
    <w:rsid w:val="005E383F"/>
    <w:rsid w:val="005E3B77"/>
    <w:rsid w:val="005E3F5F"/>
    <w:rsid w:val="005E48F7"/>
    <w:rsid w:val="005E4CCB"/>
    <w:rsid w:val="005E5563"/>
    <w:rsid w:val="005E57FE"/>
    <w:rsid w:val="005E59C5"/>
    <w:rsid w:val="005E5E74"/>
    <w:rsid w:val="005E66F1"/>
    <w:rsid w:val="005E6AFB"/>
    <w:rsid w:val="005E7698"/>
    <w:rsid w:val="005E7849"/>
    <w:rsid w:val="005E7A8C"/>
    <w:rsid w:val="005F06FA"/>
    <w:rsid w:val="005F06FD"/>
    <w:rsid w:val="005F0B4C"/>
    <w:rsid w:val="005F0B53"/>
    <w:rsid w:val="005F0C46"/>
    <w:rsid w:val="005F1543"/>
    <w:rsid w:val="005F1FE4"/>
    <w:rsid w:val="005F2528"/>
    <w:rsid w:val="005F27D4"/>
    <w:rsid w:val="005F369B"/>
    <w:rsid w:val="005F38C5"/>
    <w:rsid w:val="005F3955"/>
    <w:rsid w:val="005F3F7F"/>
    <w:rsid w:val="005F40E5"/>
    <w:rsid w:val="005F419B"/>
    <w:rsid w:val="005F46D9"/>
    <w:rsid w:val="005F485F"/>
    <w:rsid w:val="005F4950"/>
    <w:rsid w:val="005F4D16"/>
    <w:rsid w:val="005F523F"/>
    <w:rsid w:val="005F5362"/>
    <w:rsid w:val="005F547B"/>
    <w:rsid w:val="005F556F"/>
    <w:rsid w:val="005F5C3D"/>
    <w:rsid w:val="005F660A"/>
    <w:rsid w:val="005F6697"/>
    <w:rsid w:val="005F69DD"/>
    <w:rsid w:val="005F6CA5"/>
    <w:rsid w:val="005F6EF0"/>
    <w:rsid w:val="005F6F60"/>
    <w:rsid w:val="005F6F9C"/>
    <w:rsid w:val="005F6FFC"/>
    <w:rsid w:val="005F76BE"/>
    <w:rsid w:val="005F7CC1"/>
    <w:rsid w:val="006004DE"/>
    <w:rsid w:val="00600AAB"/>
    <w:rsid w:val="00600B6C"/>
    <w:rsid w:val="00601072"/>
    <w:rsid w:val="00601097"/>
    <w:rsid w:val="0060144E"/>
    <w:rsid w:val="00601FCD"/>
    <w:rsid w:val="00602354"/>
    <w:rsid w:val="0060254B"/>
    <w:rsid w:val="0060268D"/>
    <w:rsid w:val="006027D5"/>
    <w:rsid w:val="0060305B"/>
    <w:rsid w:val="006039C5"/>
    <w:rsid w:val="00603B1B"/>
    <w:rsid w:val="006043D7"/>
    <w:rsid w:val="00604594"/>
    <w:rsid w:val="00604708"/>
    <w:rsid w:val="00604CFF"/>
    <w:rsid w:val="00605399"/>
    <w:rsid w:val="006054EE"/>
    <w:rsid w:val="0060591D"/>
    <w:rsid w:val="006059EC"/>
    <w:rsid w:val="00605A02"/>
    <w:rsid w:val="00605A5D"/>
    <w:rsid w:val="00605B5D"/>
    <w:rsid w:val="006074B1"/>
    <w:rsid w:val="00607ADE"/>
    <w:rsid w:val="00607E68"/>
    <w:rsid w:val="00610224"/>
    <w:rsid w:val="006102C6"/>
    <w:rsid w:val="006103F0"/>
    <w:rsid w:val="00610B78"/>
    <w:rsid w:val="006113A9"/>
    <w:rsid w:val="00611C82"/>
    <w:rsid w:val="006125DB"/>
    <w:rsid w:val="00612C73"/>
    <w:rsid w:val="00612E96"/>
    <w:rsid w:val="006133A2"/>
    <w:rsid w:val="006134CE"/>
    <w:rsid w:val="006138D8"/>
    <w:rsid w:val="00613A55"/>
    <w:rsid w:val="00614016"/>
    <w:rsid w:val="00614064"/>
    <w:rsid w:val="006141D8"/>
    <w:rsid w:val="006144B0"/>
    <w:rsid w:val="00614BDD"/>
    <w:rsid w:val="00614C2F"/>
    <w:rsid w:val="00614CB4"/>
    <w:rsid w:val="00614D1E"/>
    <w:rsid w:val="00614E35"/>
    <w:rsid w:val="0061513A"/>
    <w:rsid w:val="0061524B"/>
    <w:rsid w:val="0061565F"/>
    <w:rsid w:val="006159FA"/>
    <w:rsid w:val="00615BDB"/>
    <w:rsid w:val="006162D2"/>
    <w:rsid w:val="00616885"/>
    <w:rsid w:val="00616B91"/>
    <w:rsid w:val="00616F90"/>
    <w:rsid w:val="0061717B"/>
    <w:rsid w:val="0061717F"/>
    <w:rsid w:val="006175CF"/>
    <w:rsid w:val="00617B93"/>
    <w:rsid w:val="0062001A"/>
    <w:rsid w:val="00620020"/>
    <w:rsid w:val="00620049"/>
    <w:rsid w:val="006201A2"/>
    <w:rsid w:val="006201CD"/>
    <w:rsid w:val="006201F5"/>
    <w:rsid w:val="00620254"/>
    <w:rsid w:val="006205EA"/>
    <w:rsid w:val="00620686"/>
    <w:rsid w:val="006206A2"/>
    <w:rsid w:val="00620721"/>
    <w:rsid w:val="006209E8"/>
    <w:rsid w:val="00621B6A"/>
    <w:rsid w:val="00621C0B"/>
    <w:rsid w:val="00621C72"/>
    <w:rsid w:val="00621CAD"/>
    <w:rsid w:val="00623427"/>
    <w:rsid w:val="00623AEB"/>
    <w:rsid w:val="00623E4E"/>
    <w:rsid w:val="00624C2C"/>
    <w:rsid w:val="00624C6E"/>
    <w:rsid w:val="00624FB3"/>
    <w:rsid w:val="00624FF1"/>
    <w:rsid w:val="0062587D"/>
    <w:rsid w:val="00625B24"/>
    <w:rsid w:val="0062657C"/>
    <w:rsid w:val="00626C25"/>
    <w:rsid w:val="00626E64"/>
    <w:rsid w:val="0062725A"/>
    <w:rsid w:val="0062776C"/>
    <w:rsid w:val="00627BA3"/>
    <w:rsid w:val="00627C39"/>
    <w:rsid w:val="00627E44"/>
    <w:rsid w:val="006300D7"/>
    <w:rsid w:val="00630333"/>
    <w:rsid w:val="00631007"/>
    <w:rsid w:val="00631826"/>
    <w:rsid w:val="006326BC"/>
    <w:rsid w:val="00632763"/>
    <w:rsid w:val="00632927"/>
    <w:rsid w:val="00632A0E"/>
    <w:rsid w:val="00632A4C"/>
    <w:rsid w:val="00632EEF"/>
    <w:rsid w:val="0063305B"/>
    <w:rsid w:val="0063362C"/>
    <w:rsid w:val="00633951"/>
    <w:rsid w:val="00633965"/>
    <w:rsid w:val="00633A3A"/>
    <w:rsid w:val="00633B5E"/>
    <w:rsid w:val="00633C0A"/>
    <w:rsid w:val="0063405E"/>
    <w:rsid w:val="006341AD"/>
    <w:rsid w:val="006346F1"/>
    <w:rsid w:val="006347F5"/>
    <w:rsid w:val="006353D0"/>
    <w:rsid w:val="00635EDC"/>
    <w:rsid w:val="00635F56"/>
    <w:rsid w:val="00636094"/>
    <w:rsid w:val="0063633A"/>
    <w:rsid w:val="0063650D"/>
    <w:rsid w:val="00636A76"/>
    <w:rsid w:val="0063720A"/>
    <w:rsid w:val="006373C7"/>
    <w:rsid w:val="00637E00"/>
    <w:rsid w:val="006401C6"/>
    <w:rsid w:val="00640207"/>
    <w:rsid w:val="00640222"/>
    <w:rsid w:val="006409F3"/>
    <w:rsid w:val="00640B73"/>
    <w:rsid w:val="00641061"/>
    <w:rsid w:val="006411DF"/>
    <w:rsid w:val="006419ED"/>
    <w:rsid w:val="006424E3"/>
    <w:rsid w:val="006427DE"/>
    <w:rsid w:val="00642D10"/>
    <w:rsid w:val="00642E65"/>
    <w:rsid w:val="00643769"/>
    <w:rsid w:val="006437D5"/>
    <w:rsid w:val="00643891"/>
    <w:rsid w:val="00643DCD"/>
    <w:rsid w:val="00644200"/>
    <w:rsid w:val="0064428B"/>
    <w:rsid w:val="006443C6"/>
    <w:rsid w:val="00644511"/>
    <w:rsid w:val="0064486C"/>
    <w:rsid w:val="00644AB6"/>
    <w:rsid w:val="00644E60"/>
    <w:rsid w:val="00645190"/>
    <w:rsid w:val="00645ACC"/>
    <w:rsid w:val="0064615B"/>
    <w:rsid w:val="006466B5"/>
    <w:rsid w:val="00646C84"/>
    <w:rsid w:val="00647231"/>
    <w:rsid w:val="006477A7"/>
    <w:rsid w:val="00647BB6"/>
    <w:rsid w:val="00647CB3"/>
    <w:rsid w:val="00650150"/>
    <w:rsid w:val="00650854"/>
    <w:rsid w:val="00650D1E"/>
    <w:rsid w:val="00650D3F"/>
    <w:rsid w:val="00650EB1"/>
    <w:rsid w:val="00650EB8"/>
    <w:rsid w:val="00650F7C"/>
    <w:rsid w:val="00650FBE"/>
    <w:rsid w:val="006513D5"/>
    <w:rsid w:val="006518B1"/>
    <w:rsid w:val="00651AD3"/>
    <w:rsid w:val="00651B74"/>
    <w:rsid w:val="00651FA0"/>
    <w:rsid w:val="00653217"/>
    <w:rsid w:val="00653273"/>
    <w:rsid w:val="00653FED"/>
    <w:rsid w:val="0065424F"/>
    <w:rsid w:val="006543F3"/>
    <w:rsid w:val="006544F6"/>
    <w:rsid w:val="00655070"/>
    <w:rsid w:val="00655223"/>
    <w:rsid w:val="00655780"/>
    <w:rsid w:val="0065594D"/>
    <w:rsid w:val="006561FF"/>
    <w:rsid w:val="00656D6F"/>
    <w:rsid w:val="00657005"/>
    <w:rsid w:val="006572FB"/>
    <w:rsid w:val="006578D9"/>
    <w:rsid w:val="00657AEA"/>
    <w:rsid w:val="00657F67"/>
    <w:rsid w:val="006605DC"/>
    <w:rsid w:val="0066146F"/>
    <w:rsid w:val="00661636"/>
    <w:rsid w:val="00661C4E"/>
    <w:rsid w:val="00661CC2"/>
    <w:rsid w:val="00662166"/>
    <w:rsid w:val="00662717"/>
    <w:rsid w:val="00662FA2"/>
    <w:rsid w:val="0066310A"/>
    <w:rsid w:val="006635DC"/>
    <w:rsid w:val="0066369A"/>
    <w:rsid w:val="0066386C"/>
    <w:rsid w:val="006638FF"/>
    <w:rsid w:val="00663908"/>
    <w:rsid w:val="00663DAB"/>
    <w:rsid w:val="00663F72"/>
    <w:rsid w:val="00664678"/>
    <w:rsid w:val="006646F4"/>
    <w:rsid w:val="00665229"/>
    <w:rsid w:val="00665316"/>
    <w:rsid w:val="006654E8"/>
    <w:rsid w:val="0066568F"/>
    <w:rsid w:val="00665CCE"/>
    <w:rsid w:val="00666E49"/>
    <w:rsid w:val="00666FED"/>
    <w:rsid w:val="006672FC"/>
    <w:rsid w:val="00667378"/>
    <w:rsid w:val="0066745C"/>
    <w:rsid w:val="00667A27"/>
    <w:rsid w:val="00670204"/>
    <w:rsid w:val="00670290"/>
    <w:rsid w:val="006704BF"/>
    <w:rsid w:val="00670646"/>
    <w:rsid w:val="00670AD6"/>
    <w:rsid w:val="00670ECD"/>
    <w:rsid w:val="00671010"/>
    <w:rsid w:val="0067106A"/>
    <w:rsid w:val="00671B4F"/>
    <w:rsid w:val="00671ED0"/>
    <w:rsid w:val="006725CC"/>
    <w:rsid w:val="0067273D"/>
    <w:rsid w:val="00672966"/>
    <w:rsid w:val="00672A48"/>
    <w:rsid w:val="00672E1F"/>
    <w:rsid w:val="00672F51"/>
    <w:rsid w:val="006735BC"/>
    <w:rsid w:val="00673BDE"/>
    <w:rsid w:val="00673EB7"/>
    <w:rsid w:val="00673FBF"/>
    <w:rsid w:val="006740F1"/>
    <w:rsid w:val="0067439E"/>
    <w:rsid w:val="00674460"/>
    <w:rsid w:val="006754D4"/>
    <w:rsid w:val="00675652"/>
    <w:rsid w:val="006758E5"/>
    <w:rsid w:val="00675ECB"/>
    <w:rsid w:val="0067649C"/>
    <w:rsid w:val="006767B8"/>
    <w:rsid w:val="00677725"/>
    <w:rsid w:val="00677F10"/>
    <w:rsid w:val="0068013A"/>
    <w:rsid w:val="0068079C"/>
    <w:rsid w:val="00680A97"/>
    <w:rsid w:val="00680F30"/>
    <w:rsid w:val="00680F81"/>
    <w:rsid w:val="0068102D"/>
    <w:rsid w:val="00681254"/>
    <w:rsid w:val="00681307"/>
    <w:rsid w:val="006820C0"/>
    <w:rsid w:val="0068226B"/>
    <w:rsid w:val="00682E47"/>
    <w:rsid w:val="00682ED3"/>
    <w:rsid w:val="006839BA"/>
    <w:rsid w:val="00683D7F"/>
    <w:rsid w:val="00683E9E"/>
    <w:rsid w:val="00683F24"/>
    <w:rsid w:val="00684258"/>
    <w:rsid w:val="006845C9"/>
    <w:rsid w:val="006853FF"/>
    <w:rsid w:val="00685725"/>
    <w:rsid w:val="00685834"/>
    <w:rsid w:val="00685D3B"/>
    <w:rsid w:val="00685DB7"/>
    <w:rsid w:val="0068623E"/>
    <w:rsid w:val="00686366"/>
    <w:rsid w:val="0068653A"/>
    <w:rsid w:val="00686A14"/>
    <w:rsid w:val="00686FAD"/>
    <w:rsid w:val="0068721F"/>
    <w:rsid w:val="006878B2"/>
    <w:rsid w:val="00687A10"/>
    <w:rsid w:val="00687A5E"/>
    <w:rsid w:val="00690D12"/>
    <w:rsid w:val="00690F0E"/>
    <w:rsid w:val="006919C5"/>
    <w:rsid w:val="00692799"/>
    <w:rsid w:val="006927F0"/>
    <w:rsid w:val="00692A0D"/>
    <w:rsid w:val="00692BDC"/>
    <w:rsid w:val="00693077"/>
    <w:rsid w:val="00693295"/>
    <w:rsid w:val="00693529"/>
    <w:rsid w:val="006935E1"/>
    <w:rsid w:val="00693A5C"/>
    <w:rsid w:val="00693F0A"/>
    <w:rsid w:val="0069447C"/>
    <w:rsid w:val="006949AD"/>
    <w:rsid w:val="00694E1F"/>
    <w:rsid w:val="00696244"/>
    <w:rsid w:val="006969D6"/>
    <w:rsid w:val="00696B6A"/>
    <w:rsid w:val="00696DD1"/>
    <w:rsid w:val="0069755C"/>
    <w:rsid w:val="006979DC"/>
    <w:rsid w:val="00697C2C"/>
    <w:rsid w:val="00697E0B"/>
    <w:rsid w:val="00697F71"/>
    <w:rsid w:val="006A04D8"/>
    <w:rsid w:val="006A05EF"/>
    <w:rsid w:val="006A0942"/>
    <w:rsid w:val="006A11CD"/>
    <w:rsid w:val="006A14A5"/>
    <w:rsid w:val="006A18DD"/>
    <w:rsid w:val="006A20BD"/>
    <w:rsid w:val="006A2312"/>
    <w:rsid w:val="006A2347"/>
    <w:rsid w:val="006A24B3"/>
    <w:rsid w:val="006A29BF"/>
    <w:rsid w:val="006A2BF5"/>
    <w:rsid w:val="006A2D0E"/>
    <w:rsid w:val="006A2E66"/>
    <w:rsid w:val="006A3227"/>
    <w:rsid w:val="006A3396"/>
    <w:rsid w:val="006A351E"/>
    <w:rsid w:val="006A3F94"/>
    <w:rsid w:val="006A40D0"/>
    <w:rsid w:val="006A4113"/>
    <w:rsid w:val="006A49B5"/>
    <w:rsid w:val="006A4F1A"/>
    <w:rsid w:val="006A4FF3"/>
    <w:rsid w:val="006A5A45"/>
    <w:rsid w:val="006A5CA3"/>
    <w:rsid w:val="006A5D5C"/>
    <w:rsid w:val="006A5E26"/>
    <w:rsid w:val="006A6B3F"/>
    <w:rsid w:val="006A6B69"/>
    <w:rsid w:val="006A74C0"/>
    <w:rsid w:val="006A7574"/>
    <w:rsid w:val="006A76A6"/>
    <w:rsid w:val="006B0489"/>
    <w:rsid w:val="006B05F5"/>
    <w:rsid w:val="006B0A30"/>
    <w:rsid w:val="006B1213"/>
    <w:rsid w:val="006B163E"/>
    <w:rsid w:val="006B166D"/>
    <w:rsid w:val="006B19B2"/>
    <w:rsid w:val="006B1A07"/>
    <w:rsid w:val="006B1DA2"/>
    <w:rsid w:val="006B1F5F"/>
    <w:rsid w:val="006B2008"/>
    <w:rsid w:val="006B21E9"/>
    <w:rsid w:val="006B242D"/>
    <w:rsid w:val="006B2431"/>
    <w:rsid w:val="006B24F8"/>
    <w:rsid w:val="006B393F"/>
    <w:rsid w:val="006B3E55"/>
    <w:rsid w:val="006B401E"/>
    <w:rsid w:val="006B4B0E"/>
    <w:rsid w:val="006B5111"/>
    <w:rsid w:val="006B52BA"/>
    <w:rsid w:val="006B5A7D"/>
    <w:rsid w:val="006B6346"/>
    <w:rsid w:val="006B6AD0"/>
    <w:rsid w:val="006B6BA3"/>
    <w:rsid w:val="006B6C83"/>
    <w:rsid w:val="006B6C95"/>
    <w:rsid w:val="006B725C"/>
    <w:rsid w:val="006B7864"/>
    <w:rsid w:val="006C03B2"/>
    <w:rsid w:val="006C09DD"/>
    <w:rsid w:val="006C0B08"/>
    <w:rsid w:val="006C0D37"/>
    <w:rsid w:val="006C1142"/>
    <w:rsid w:val="006C1A29"/>
    <w:rsid w:val="006C1B3F"/>
    <w:rsid w:val="006C1F77"/>
    <w:rsid w:val="006C22BD"/>
    <w:rsid w:val="006C2604"/>
    <w:rsid w:val="006C3309"/>
    <w:rsid w:val="006C375B"/>
    <w:rsid w:val="006C3FF3"/>
    <w:rsid w:val="006C44D3"/>
    <w:rsid w:val="006C45C1"/>
    <w:rsid w:val="006C4B11"/>
    <w:rsid w:val="006C4D69"/>
    <w:rsid w:val="006C4E89"/>
    <w:rsid w:val="006C50C3"/>
    <w:rsid w:val="006C51A3"/>
    <w:rsid w:val="006C54AC"/>
    <w:rsid w:val="006C566C"/>
    <w:rsid w:val="006C57EC"/>
    <w:rsid w:val="006C5C20"/>
    <w:rsid w:val="006C5FF1"/>
    <w:rsid w:val="006C6287"/>
    <w:rsid w:val="006C677C"/>
    <w:rsid w:val="006C6E92"/>
    <w:rsid w:val="006C75C9"/>
    <w:rsid w:val="006C7CAC"/>
    <w:rsid w:val="006C7FB9"/>
    <w:rsid w:val="006D0556"/>
    <w:rsid w:val="006D0846"/>
    <w:rsid w:val="006D0C09"/>
    <w:rsid w:val="006D0E7E"/>
    <w:rsid w:val="006D1A23"/>
    <w:rsid w:val="006D1DFA"/>
    <w:rsid w:val="006D1F1A"/>
    <w:rsid w:val="006D2039"/>
    <w:rsid w:val="006D21FF"/>
    <w:rsid w:val="006D31AF"/>
    <w:rsid w:val="006D31DD"/>
    <w:rsid w:val="006D35CD"/>
    <w:rsid w:val="006D3CC3"/>
    <w:rsid w:val="006D3D01"/>
    <w:rsid w:val="006D4133"/>
    <w:rsid w:val="006D4373"/>
    <w:rsid w:val="006D492A"/>
    <w:rsid w:val="006D493C"/>
    <w:rsid w:val="006D5457"/>
    <w:rsid w:val="006D56B0"/>
    <w:rsid w:val="006D59BF"/>
    <w:rsid w:val="006D5A62"/>
    <w:rsid w:val="006D5EC2"/>
    <w:rsid w:val="006D5FEF"/>
    <w:rsid w:val="006D667A"/>
    <w:rsid w:val="006D7115"/>
    <w:rsid w:val="006D72E1"/>
    <w:rsid w:val="006D74C9"/>
    <w:rsid w:val="006D7598"/>
    <w:rsid w:val="006D7B93"/>
    <w:rsid w:val="006D7BBD"/>
    <w:rsid w:val="006D7C30"/>
    <w:rsid w:val="006D7D69"/>
    <w:rsid w:val="006D7DAD"/>
    <w:rsid w:val="006D7EC6"/>
    <w:rsid w:val="006E0566"/>
    <w:rsid w:val="006E0B16"/>
    <w:rsid w:val="006E1135"/>
    <w:rsid w:val="006E1469"/>
    <w:rsid w:val="006E176F"/>
    <w:rsid w:val="006E1C34"/>
    <w:rsid w:val="006E1E45"/>
    <w:rsid w:val="006E22CC"/>
    <w:rsid w:val="006E3D3A"/>
    <w:rsid w:val="006E4646"/>
    <w:rsid w:val="006E512D"/>
    <w:rsid w:val="006E5477"/>
    <w:rsid w:val="006E554E"/>
    <w:rsid w:val="006E5AFE"/>
    <w:rsid w:val="006E696A"/>
    <w:rsid w:val="006E6C33"/>
    <w:rsid w:val="006E6F03"/>
    <w:rsid w:val="006E71A8"/>
    <w:rsid w:val="006E7496"/>
    <w:rsid w:val="006E7883"/>
    <w:rsid w:val="006E7969"/>
    <w:rsid w:val="006E7E49"/>
    <w:rsid w:val="006E7F71"/>
    <w:rsid w:val="006F0209"/>
    <w:rsid w:val="006F05C2"/>
    <w:rsid w:val="006F090B"/>
    <w:rsid w:val="006F0C12"/>
    <w:rsid w:val="006F0DB2"/>
    <w:rsid w:val="006F0E38"/>
    <w:rsid w:val="006F0EB1"/>
    <w:rsid w:val="006F1D86"/>
    <w:rsid w:val="006F1E30"/>
    <w:rsid w:val="006F20A6"/>
    <w:rsid w:val="006F20A7"/>
    <w:rsid w:val="006F25FE"/>
    <w:rsid w:val="006F291E"/>
    <w:rsid w:val="006F2F4D"/>
    <w:rsid w:val="006F3052"/>
    <w:rsid w:val="006F314D"/>
    <w:rsid w:val="006F3B01"/>
    <w:rsid w:val="006F3C66"/>
    <w:rsid w:val="006F4189"/>
    <w:rsid w:val="006F468E"/>
    <w:rsid w:val="006F557B"/>
    <w:rsid w:val="006F5674"/>
    <w:rsid w:val="006F5B41"/>
    <w:rsid w:val="006F6689"/>
    <w:rsid w:val="006F6740"/>
    <w:rsid w:val="006F6FEA"/>
    <w:rsid w:val="006F70E1"/>
    <w:rsid w:val="006F7427"/>
    <w:rsid w:val="006F746D"/>
    <w:rsid w:val="006F7A6B"/>
    <w:rsid w:val="006F7A92"/>
    <w:rsid w:val="006F7E42"/>
    <w:rsid w:val="00700042"/>
    <w:rsid w:val="0070013F"/>
    <w:rsid w:val="0070023A"/>
    <w:rsid w:val="0070063F"/>
    <w:rsid w:val="0070124B"/>
    <w:rsid w:val="007017EA"/>
    <w:rsid w:val="0070181F"/>
    <w:rsid w:val="0070193E"/>
    <w:rsid w:val="00701B27"/>
    <w:rsid w:val="00701F97"/>
    <w:rsid w:val="007032E6"/>
    <w:rsid w:val="007036E5"/>
    <w:rsid w:val="00703D8A"/>
    <w:rsid w:val="00704123"/>
    <w:rsid w:val="00704641"/>
    <w:rsid w:val="007047A7"/>
    <w:rsid w:val="007050A6"/>
    <w:rsid w:val="007056ED"/>
    <w:rsid w:val="00705D28"/>
    <w:rsid w:val="00706AC2"/>
    <w:rsid w:val="007072C8"/>
    <w:rsid w:val="0070743B"/>
    <w:rsid w:val="00707CC2"/>
    <w:rsid w:val="00707EC9"/>
    <w:rsid w:val="007101EE"/>
    <w:rsid w:val="00710994"/>
    <w:rsid w:val="007109CD"/>
    <w:rsid w:val="00710A3E"/>
    <w:rsid w:val="00710D33"/>
    <w:rsid w:val="0071127B"/>
    <w:rsid w:val="00711760"/>
    <w:rsid w:val="007117AA"/>
    <w:rsid w:val="0071181D"/>
    <w:rsid w:val="0071196B"/>
    <w:rsid w:val="00711A0F"/>
    <w:rsid w:val="00711AE4"/>
    <w:rsid w:val="00711B30"/>
    <w:rsid w:val="00711D10"/>
    <w:rsid w:val="00711D73"/>
    <w:rsid w:val="00712202"/>
    <w:rsid w:val="00712A0F"/>
    <w:rsid w:val="00712FDB"/>
    <w:rsid w:val="007131B0"/>
    <w:rsid w:val="0071371F"/>
    <w:rsid w:val="0071374D"/>
    <w:rsid w:val="00714065"/>
    <w:rsid w:val="00714186"/>
    <w:rsid w:val="00714312"/>
    <w:rsid w:val="00714504"/>
    <w:rsid w:val="00714796"/>
    <w:rsid w:val="00714D6A"/>
    <w:rsid w:val="00715F49"/>
    <w:rsid w:val="00716324"/>
    <w:rsid w:val="007163BF"/>
    <w:rsid w:val="0071649C"/>
    <w:rsid w:val="00716B63"/>
    <w:rsid w:val="00716FC0"/>
    <w:rsid w:val="00717267"/>
    <w:rsid w:val="00717300"/>
    <w:rsid w:val="00717890"/>
    <w:rsid w:val="007178EE"/>
    <w:rsid w:val="00720759"/>
    <w:rsid w:val="00720A0C"/>
    <w:rsid w:val="007215A9"/>
    <w:rsid w:val="0072190B"/>
    <w:rsid w:val="00721CB7"/>
    <w:rsid w:val="00721D98"/>
    <w:rsid w:val="00721DB3"/>
    <w:rsid w:val="00721E1D"/>
    <w:rsid w:val="00722260"/>
    <w:rsid w:val="00722809"/>
    <w:rsid w:val="0072298B"/>
    <w:rsid w:val="00722B72"/>
    <w:rsid w:val="00722BD3"/>
    <w:rsid w:val="00722F80"/>
    <w:rsid w:val="00723099"/>
    <w:rsid w:val="007233B6"/>
    <w:rsid w:val="0072350B"/>
    <w:rsid w:val="007238F1"/>
    <w:rsid w:val="00724426"/>
    <w:rsid w:val="00724437"/>
    <w:rsid w:val="007244BA"/>
    <w:rsid w:val="007245F9"/>
    <w:rsid w:val="0072461A"/>
    <w:rsid w:val="00725068"/>
    <w:rsid w:val="0072560E"/>
    <w:rsid w:val="00725CB6"/>
    <w:rsid w:val="00725CDC"/>
    <w:rsid w:val="00726281"/>
    <w:rsid w:val="007263AD"/>
    <w:rsid w:val="0072650B"/>
    <w:rsid w:val="00726537"/>
    <w:rsid w:val="0072665F"/>
    <w:rsid w:val="007273EC"/>
    <w:rsid w:val="007279F1"/>
    <w:rsid w:val="00727E9F"/>
    <w:rsid w:val="00730F0F"/>
    <w:rsid w:val="00730FB9"/>
    <w:rsid w:val="0073128B"/>
    <w:rsid w:val="0073150C"/>
    <w:rsid w:val="0073171A"/>
    <w:rsid w:val="007325D3"/>
    <w:rsid w:val="00732885"/>
    <w:rsid w:val="00733858"/>
    <w:rsid w:val="00733A80"/>
    <w:rsid w:val="0073487C"/>
    <w:rsid w:val="0073497A"/>
    <w:rsid w:val="0073532A"/>
    <w:rsid w:val="00735E35"/>
    <w:rsid w:val="0073637C"/>
    <w:rsid w:val="00736803"/>
    <w:rsid w:val="00736886"/>
    <w:rsid w:val="00736D7B"/>
    <w:rsid w:val="007377ED"/>
    <w:rsid w:val="007379C8"/>
    <w:rsid w:val="007406A2"/>
    <w:rsid w:val="007406C0"/>
    <w:rsid w:val="00740AC1"/>
    <w:rsid w:val="00740B5C"/>
    <w:rsid w:val="00740BF9"/>
    <w:rsid w:val="0074108B"/>
    <w:rsid w:val="00741434"/>
    <w:rsid w:val="0074146A"/>
    <w:rsid w:val="007415B6"/>
    <w:rsid w:val="00741A56"/>
    <w:rsid w:val="007420C9"/>
    <w:rsid w:val="00742695"/>
    <w:rsid w:val="00742A51"/>
    <w:rsid w:val="00743468"/>
    <w:rsid w:val="007435B1"/>
    <w:rsid w:val="007436B1"/>
    <w:rsid w:val="007436D5"/>
    <w:rsid w:val="00743867"/>
    <w:rsid w:val="00744055"/>
    <w:rsid w:val="0074443A"/>
    <w:rsid w:val="0074462D"/>
    <w:rsid w:val="0074475B"/>
    <w:rsid w:val="00744E4F"/>
    <w:rsid w:val="0074544C"/>
    <w:rsid w:val="0074576E"/>
    <w:rsid w:val="0074587B"/>
    <w:rsid w:val="007458E7"/>
    <w:rsid w:val="00745EBB"/>
    <w:rsid w:val="00746167"/>
    <w:rsid w:val="00746199"/>
    <w:rsid w:val="00746D90"/>
    <w:rsid w:val="00747446"/>
    <w:rsid w:val="007475BE"/>
    <w:rsid w:val="00747BD8"/>
    <w:rsid w:val="00747F05"/>
    <w:rsid w:val="0075038A"/>
    <w:rsid w:val="007503B7"/>
    <w:rsid w:val="0075076E"/>
    <w:rsid w:val="007509F9"/>
    <w:rsid w:val="00751B32"/>
    <w:rsid w:val="00751F76"/>
    <w:rsid w:val="00752497"/>
    <w:rsid w:val="007524E2"/>
    <w:rsid w:val="00752FE7"/>
    <w:rsid w:val="00753F01"/>
    <w:rsid w:val="0075412E"/>
    <w:rsid w:val="007545E6"/>
    <w:rsid w:val="00754747"/>
    <w:rsid w:val="00754D64"/>
    <w:rsid w:val="00754FCC"/>
    <w:rsid w:val="00755420"/>
    <w:rsid w:val="00755559"/>
    <w:rsid w:val="00755B06"/>
    <w:rsid w:val="00755D41"/>
    <w:rsid w:val="00755E06"/>
    <w:rsid w:val="00755F8B"/>
    <w:rsid w:val="00756447"/>
    <w:rsid w:val="007565E2"/>
    <w:rsid w:val="00756F15"/>
    <w:rsid w:val="00756F1E"/>
    <w:rsid w:val="007572E9"/>
    <w:rsid w:val="00757A61"/>
    <w:rsid w:val="00757C04"/>
    <w:rsid w:val="00757CD9"/>
    <w:rsid w:val="00757E8E"/>
    <w:rsid w:val="00757FE8"/>
    <w:rsid w:val="007600CF"/>
    <w:rsid w:val="0076015A"/>
    <w:rsid w:val="0076031F"/>
    <w:rsid w:val="00760756"/>
    <w:rsid w:val="00760D79"/>
    <w:rsid w:val="0076116A"/>
    <w:rsid w:val="007613AF"/>
    <w:rsid w:val="0076145C"/>
    <w:rsid w:val="007619FB"/>
    <w:rsid w:val="00761A37"/>
    <w:rsid w:val="0076200C"/>
    <w:rsid w:val="00762924"/>
    <w:rsid w:val="0076295C"/>
    <w:rsid w:val="00762FA7"/>
    <w:rsid w:val="00763055"/>
    <w:rsid w:val="00763432"/>
    <w:rsid w:val="00763448"/>
    <w:rsid w:val="00763EB7"/>
    <w:rsid w:val="00764043"/>
    <w:rsid w:val="00764EB8"/>
    <w:rsid w:val="00765098"/>
    <w:rsid w:val="007650A8"/>
    <w:rsid w:val="0076539C"/>
    <w:rsid w:val="00765832"/>
    <w:rsid w:val="00765FDC"/>
    <w:rsid w:val="007663A3"/>
    <w:rsid w:val="00766559"/>
    <w:rsid w:val="007669EF"/>
    <w:rsid w:val="00766B0E"/>
    <w:rsid w:val="00766BFB"/>
    <w:rsid w:val="00766C3A"/>
    <w:rsid w:val="00766ED2"/>
    <w:rsid w:val="0076731C"/>
    <w:rsid w:val="0076747C"/>
    <w:rsid w:val="007674C6"/>
    <w:rsid w:val="00767703"/>
    <w:rsid w:val="007678B6"/>
    <w:rsid w:val="007700C8"/>
    <w:rsid w:val="007702AC"/>
    <w:rsid w:val="00770CEE"/>
    <w:rsid w:val="0077115B"/>
    <w:rsid w:val="007721AD"/>
    <w:rsid w:val="00772232"/>
    <w:rsid w:val="007728F4"/>
    <w:rsid w:val="00772D15"/>
    <w:rsid w:val="00772DC3"/>
    <w:rsid w:val="007733C4"/>
    <w:rsid w:val="00773EC7"/>
    <w:rsid w:val="007743A1"/>
    <w:rsid w:val="007744EF"/>
    <w:rsid w:val="00775BAA"/>
    <w:rsid w:val="00775C35"/>
    <w:rsid w:val="00775EFD"/>
    <w:rsid w:val="00775F11"/>
    <w:rsid w:val="00776351"/>
    <w:rsid w:val="007765B0"/>
    <w:rsid w:val="00776679"/>
    <w:rsid w:val="007768F2"/>
    <w:rsid w:val="00776C10"/>
    <w:rsid w:val="00776E9E"/>
    <w:rsid w:val="00776F98"/>
    <w:rsid w:val="00777053"/>
    <w:rsid w:val="007775DE"/>
    <w:rsid w:val="00777B46"/>
    <w:rsid w:val="00777EE9"/>
    <w:rsid w:val="00780980"/>
    <w:rsid w:val="007809E1"/>
    <w:rsid w:val="00780A03"/>
    <w:rsid w:val="00780AF4"/>
    <w:rsid w:val="00780F3D"/>
    <w:rsid w:val="0078146E"/>
    <w:rsid w:val="0078165E"/>
    <w:rsid w:val="007816FD"/>
    <w:rsid w:val="00781B9A"/>
    <w:rsid w:val="00781BC7"/>
    <w:rsid w:val="00781DAD"/>
    <w:rsid w:val="0078243D"/>
    <w:rsid w:val="00782D8A"/>
    <w:rsid w:val="007833C3"/>
    <w:rsid w:val="007837BE"/>
    <w:rsid w:val="0078380D"/>
    <w:rsid w:val="00784112"/>
    <w:rsid w:val="007842FE"/>
    <w:rsid w:val="0078440C"/>
    <w:rsid w:val="00784702"/>
    <w:rsid w:val="00784C31"/>
    <w:rsid w:val="00784EA1"/>
    <w:rsid w:val="00784ECF"/>
    <w:rsid w:val="00784FC7"/>
    <w:rsid w:val="007859E1"/>
    <w:rsid w:val="0078618F"/>
    <w:rsid w:val="007861D1"/>
    <w:rsid w:val="00786272"/>
    <w:rsid w:val="007864B2"/>
    <w:rsid w:val="007864F6"/>
    <w:rsid w:val="00786620"/>
    <w:rsid w:val="0078681A"/>
    <w:rsid w:val="007868B7"/>
    <w:rsid w:val="00786BC0"/>
    <w:rsid w:val="007875E7"/>
    <w:rsid w:val="00787736"/>
    <w:rsid w:val="00787A55"/>
    <w:rsid w:val="00787B54"/>
    <w:rsid w:val="00787FF1"/>
    <w:rsid w:val="00791190"/>
    <w:rsid w:val="007916D2"/>
    <w:rsid w:val="00791866"/>
    <w:rsid w:val="00791ADE"/>
    <w:rsid w:val="00791BE9"/>
    <w:rsid w:val="00791BEA"/>
    <w:rsid w:val="00792173"/>
    <w:rsid w:val="007926B7"/>
    <w:rsid w:val="00792AD3"/>
    <w:rsid w:val="00792BEC"/>
    <w:rsid w:val="00792ECC"/>
    <w:rsid w:val="00793774"/>
    <w:rsid w:val="00793901"/>
    <w:rsid w:val="007939C7"/>
    <w:rsid w:val="00793F70"/>
    <w:rsid w:val="007947FB"/>
    <w:rsid w:val="00794DFE"/>
    <w:rsid w:val="007954AC"/>
    <w:rsid w:val="00795804"/>
    <w:rsid w:val="00795809"/>
    <w:rsid w:val="00795BA6"/>
    <w:rsid w:val="0079601B"/>
    <w:rsid w:val="007962E1"/>
    <w:rsid w:val="00796B15"/>
    <w:rsid w:val="007977CE"/>
    <w:rsid w:val="00797DAA"/>
    <w:rsid w:val="00797FCF"/>
    <w:rsid w:val="007A0616"/>
    <w:rsid w:val="007A0BDA"/>
    <w:rsid w:val="007A0CDD"/>
    <w:rsid w:val="007A0D0D"/>
    <w:rsid w:val="007A0DAC"/>
    <w:rsid w:val="007A1189"/>
    <w:rsid w:val="007A15BA"/>
    <w:rsid w:val="007A16E9"/>
    <w:rsid w:val="007A1B63"/>
    <w:rsid w:val="007A22D6"/>
    <w:rsid w:val="007A2BFF"/>
    <w:rsid w:val="007A2D56"/>
    <w:rsid w:val="007A3226"/>
    <w:rsid w:val="007A32E9"/>
    <w:rsid w:val="007A3395"/>
    <w:rsid w:val="007A3505"/>
    <w:rsid w:val="007A3BF2"/>
    <w:rsid w:val="007A4338"/>
    <w:rsid w:val="007A4AF1"/>
    <w:rsid w:val="007A5288"/>
    <w:rsid w:val="007A5C80"/>
    <w:rsid w:val="007A5F87"/>
    <w:rsid w:val="007A6053"/>
    <w:rsid w:val="007A618D"/>
    <w:rsid w:val="007A6256"/>
    <w:rsid w:val="007A6333"/>
    <w:rsid w:val="007A6477"/>
    <w:rsid w:val="007A650C"/>
    <w:rsid w:val="007A675A"/>
    <w:rsid w:val="007A6909"/>
    <w:rsid w:val="007A6A76"/>
    <w:rsid w:val="007A6C3B"/>
    <w:rsid w:val="007A6D83"/>
    <w:rsid w:val="007A7228"/>
    <w:rsid w:val="007A75A3"/>
    <w:rsid w:val="007A768A"/>
    <w:rsid w:val="007A7AD5"/>
    <w:rsid w:val="007A7DB8"/>
    <w:rsid w:val="007B0253"/>
    <w:rsid w:val="007B073B"/>
    <w:rsid w:val="007B1061"/>
    <w:rsid w:val="007B1189"/>
    <w:rsid w:val="007B19CC"/>
    <w:rsid w:val="007B1F9A"/>
    <w:rsid w:val="007B2074"/>
    <w:rsid w:val="007B2638"/>
    <w:rsid w:val="007B2BB1"/>
    <w:rsid w:val="007B3476"/>
    <w:rsid w:val="007B448A"/>
    <w:rsid w:val="007B44DC"/>
    <w:rsid w:val="007B4543"/>
    <w:rsid w:val="007B4937"/>
    <w:rsid w:val="007B4D3D"/>
    <w:rsid w:val="007B550D"/>
    <w:rsid w:val="007B56F0"/>
    <w:rsid w:val="007B5A66"/>
    <w:rsid w:val="007B630D"/>
    <w:rsid w:val="007B645F"/>
    <w:rsid w:val="007B6B0D"/>
    <w:rsid w:val="007B77FB"/>
    <w:rsid w:val="007B7ABA"/>
    <w:rsid w:val="007B7D58"/>
    <w:rsid w:val="007B7E59"/>
    <w:rsid w:val="007C0880"/>
    <w:rsid w:val="007C0AE5"/>
    <w:rsid w:val="007C0BD2"/>
    <w:rsid w:val="007C0F3A"/>
    <w:rsid w:val="007C0FA1"/>
    <w:rsid w:val="007C1065"/>
    <w:rsid w:val="007C14BD"/>
    <w:rsid w:val="007C1537"/>
    <w:rsid w:val="007C198E"/>
    <w:rsid w:val="007C1B94"/>
    <w:rsid w:val="007C22E6"/>
    <w:rsid w:val="007C26FF"/>
    <w:rsid w:val="007C2A39"/>
    <w:rsid w:val="007C2AAF"/>
    <w:rsid w:val="007C2AF9"/>
    <w:rsid w:val="007C301B"/>
    <w:rsid w:val="007C3C91"/>
    <w:rsid w:val="007C3D88"/>
    <w:rsid w:val="007C3EE5"/>
    <w:rsid w:val="007C3F14"/>
    <w:rsid w:val="007C450E"/>
    <w:rsid w:val="007C46E3"/>
    <w:rsid w:val="007C508D"/>
    <w:rsid w:val="007C515A"/>
    <w:rsid w:val="007C52ED"/>
    <w:rsid w:val="007C52F0"/>
    <w:rsid w:val="007C56CE"/>
    <w:rsid w:val="007C5CE6"/>
    <w:rsid w:val="007C5DB6"/>
    <w:rsid w:val="007C64BC"/>
    <w:rsid w:val="007C67D6"/>
    <w:rsid w:val="007C6939"/>
    <w:rsid w:val="007C6941"/>
    <w:rsid w:val="007C6D8A"/>
    <w:rsid w:val="007C6E75"/>
    <w:rsid w:val="007C7578"/>
    <w:rsid w:val="007C779D"/>
    <w:rsid w:val="007C7EF3"/>
    <w:rsid w:val="007D020B"/>
    <w:rsid w:val="007D02A6"/>
    <w:rsid w:val="007D0645"/>
    <w:rsid w:val="007D098C"/>
    <w:rsid w:val="007D11B6"/>
    <w:rsid w:val="007D149C"/>
    <w:rsid w:val="007D163B"/>
    <w:rsid w:val="007D1B2B"/>
    <w:rsid w:val="007D1B7C"/>
    <w:rsid w:val="007D214A"/>
    <w:rsid w:val="007D357E"/>
    <w:rsid w:val="007D3889"/>
    <w:rsid w:val="007D39D7"/>
    <w:rsid w:val="007D478D"/>
    <w:rsid w:val="007D4838"/>
    <w:rsid w:val="007D4956"/>
    <w:rsid w:val="007D4FF2"/>
    <w:rsid w:val="007D5033"/>
    <w:rsid w:val="007D512C"/>
    <w:rsid w:val="007D526F"/>
    <w:rsid w:val="007D5857"/>
    <w:rsid w:val="007D5CFA"/>
    <w:rsid w:val="007D6310"/>
    <w:rsid w:val="007D673F"/>
    <w:rsid w:val="007D68F4"/>
    <w:rsid w:val="007D6906"/>
    <w:rsid w:val="007D6CE5"/>
    <w:rsid w:val="007D6E8A"/>
    <w:rsid w:val="007D6EF0"/>
    <w:rsid w:val="007D7042"/>
    <w:rsid w:val="007D7059"/>
    <w:rsid w:val="007D73C2"/>
    <w:rsid w:val="007D7522"/>
    <w:rsid w:val="007D76AE"/>
    <w:rsid w:val="007E0162"/>
    <w:rsid w:val="007E05CC"/>
    <w:rsid w:val="007E08F5"/>
    <w:rsid w:val="007E0986"/>
    <w:rsid w:val="007E0C8C"/>
    <w:rsid w:val="007E0E84"/>
    <w:rsid w:val="007E1479"/>
    <w:rsid w:val="007E16A6"/>
    <w:rsid w:val="007E1A55"/>
    <w:rsid w:val="007E1CB1"/>
    <w:rsid w:val="007E1EBF"/>
    <w:rsid w:val="007E1FA7"/>
    <w:rsid w:val="007E201B"/>
    <w:rsid w:val="007E2146"/>
    <w:rsid w:val="007E2B64"/>
    <w:rsid w:val="007E2B9D"/>
    <w:rsid w:val="007E3182"/>
    <w:rsid w:val="007E36F8"/>
    <w:rsid w:val="007E42F2"/>
    <w:rsid w:val="007E4653"/>
    <w:rsid w:val="007E48CD"/>
    <w:rsid w:val="007E48E4"/>
    <w:rsid w:val="007E531F"/>
    <w:rsid w:val="007E5634"/>
    <w:rsid w:val="007E5D16"/>
    <w:rsid w:val="007E5FFD"/>
    <w:rsid w:val="007E6239"/>
    <w:rsid w:val="007E6735"/>
    <w:rsid w:val="007E67F4"/>
    <w:rsid w:val="007E732E"/>
    <w:rsid w:val="007E741E"/>
    <w:rsid w:val="007E79CD"/>
    <w:rsid w:val="007E7B2B"/>
    <w:rsid w:val="007E7E6F"/>
    <w:rsid w:val="007F05E0"/>
    <w:rsid w:val="007F0B77"/>
    <w:rsid w:val="007F0B82"/>
    <w:rsid w:val="007F0DD3"/>
    <w:rsid w:val="007F1083"/>
    <w:rsid w:val="007F18C0"/>
    <w:rsid w:val="007F21AA"/>
    <w:rsid w:val="007F2477"/>
    <w:rsid w:val="007F2DBB"/>
    <w:rsid w:val="007F2ED4"/>
    <w:rsid w:val="007F3507"/>
    <w:rsid w:val="007F3960"/>
    <w:rsid w:val="007F3F4E"/>
    <w:rsid w:val="007F3FB0"/>
    <w:rsid w:val="007F43A9"/>
    <w:rsid w:val="007F4FEA"/>
    <w:rsid w:val="007F54CD"/>
    <w:rsid w:val="007F5605"/>
    <w:rsid w:val="007F5608"/>
    <w:rsid w:val="007F5874"/>
    <w:rsid w:val="007F5D4A"/>
    <w:rsid w:val="007F6020"/>
    <w:rsid w:val="007F6562"/>
    <w:rsid w:val="007F65F2"/>
    <w:rsid w:val="007F6772"/>
    <w:rsid w:val="007F6AD2"/>
    <w:rsid w:val="007F70D6"/>
    <w:rsid w:val="007F7237"/>
    <w:rsid w:val="007F7723"/>
    <w:rsid w:val="007F7733"/>
    <w:rsid w:val="007F7864"/>
    <w:rsid w:val="007F795B"/>
    <w:rsid w:val="007F7DCC"/>
    <w:rsid w:val="00800104"/>
    <w:rsid w:val="00800184"/>
    <w:rsid w:val="00800312"/>
    <w:rsid w:val="00800994"/>
    <w:rsid w:val="00800D5F"/>
    <w:rsid w:val="00800DDB"/>
    <w:rsid w:val="008013B8"/>
    <w:rsid w:val="008016C8"/>
    <w:rsid w:val="0080179D"/>
    <w:rsid w:val="00801838"/>
    <w:rsid w:val="008018DC"/>
    <w:rsid w:val="00802410"/>
    <w:rsid w:val="0080270F"/>
    <w:rsid w:val="00802FDA"/>
    <w:rsid w:val="00803160"/>
    <w:rsid w:val="008036F8"/>
    <w:rsid w:val="00803905"/>
    <w:rsid w:val="0080397E"/>
    <w:rsid w:val="00803B79"/>
    <w:rsid w:val="00803E2E"/>
    <w:rsid w:val="00803FD6"/>
    <w:rsid w:val="008041E1"/>
    <w:rsid w:val="00804867"/>
    <w:rsid w:val="00804B2F"/>
    <w:rsid w:val="00804B56"/>
    <w:rsid w:val="008050E9"/>
    <w:rsid w:val="008053AD"/>
    <w:rsid w:val="00805D11"/>
    <w:rsid w:val="0080656E"/>
    <w:rsid w:val="008065D0"/>
    <w:rsid w:val="0080660A"/>
    <w:rsid w:val="00806979"/>
    <w:rsid w:val="0080699F"/>
    <w:rsid w:val="00806D29"/>
    <w:rsid w:val="00806F5E"/>
    <w:rsid w:val="008072B6"/>
    <w:rsid w:val="00807365"/>
    <w:rsid w:val="0080770D"/>
    <w:rsid w:val="00807D28"/>
    <w:rsid w:val="00807D5E"/>
    <w:rsid w:val="00807E1B"/>
    <w:rsid w:val="008100D3"/>
    <w:rsid w:val="0081012C"/>
    <w:rsid w:val="008103E8"/>
    <w:rsid w:val="00810DE9"/>
    <w:rsid w:val="00810EAE"/>
    <w:rsid w:val="00811036"/>
    <w:rsid w:val="00812027"/>
    <w:rsid w:val="008123D5"/>
    <w:rsid w:val="008124FE"/>
    <w:rsid w:val="008127B0"/>
    <w:rsid w:val="00812FE3"/>
    <w:rsid w:val="0081362C"/>
    <w:rsid w:val="00813CE0"/>
    <w:rsid w:val="00814072"/>
    <w:rsid w:val="008142CD"/>
    <w:rsid w:val="0081433F"/>
    <w:rsid w:val="00814500"/>
    <w:rsid w:val="00814B38"/>
    <w:rsid w:val="00814B65"/>
    <w:rsid w:val="00814BD6"/>
    <w:rsid w:val="00814CA7"/>
    <w:rsid w:val="00814D2B"/>
    <w:rsid w:val="0081529F"/>
    <w:rsid w:val="008153F0"/>
    <w:rsid w:val="008154B6"/>
    <w:rsid w:val="0081555D"/>
    <w:rsid w:val="008155E8"/>
    <w:rsid w:val="00815706"/>
    <w:rsid w:val="00815D64"/>
    <w:rsid w:val="0081606D"/>
    <w:rsid w:val="00816292"/>
    <w:rsid w:val="00816A54"/>
    <w:rsid w:val="00816D94"/>
    <w:rsid w:val="00816D9C"/>
    <w:rsid w:val="00817151"/>
    <w:rsid w:val="0081787C"/>
    <w:rsid w:val="00817B8F"/>
    <w:rsid w:val="00817C96"/>
    <w:rsid w:val="00817CB0"/>
    <w:rsid w:val="00817D2A"/>
    <w:rsid w:val="00817F27"/>
    <w:rsid w:val="00820A96"/>
    <w:rsid w:val="008216E2"/>
    <w:rsid w:val="0082172C"/>
    <w:rsid w:val="00821773"/>
    <w:rsid w:val="008219C7"/>
    <w:rsid w:val="00821A22"/>
    <w:rsid w:val="00821DC0"/>
    <w:rsid w:val="00822131"/>
    <w:rsid w:val="00823335"/>
    <w:rsid w:val="008235E4"/>
    <w:rsid w:val="008237B2"/>
    <w:rsid w:val="00823B2A"/>
    <w:rsid w:val="00823F61"/>
    <w:rsid w:val="0082449E"/>
    <w:rsid w:val="008247A4"/>
    <w:rsid w:val="008249FF"/>
    <w:rsid w:val="008251EC"/>
    <w:rsid w:val="00825511"/>
    <w:rsid w:val="00825693"/>
    <w:rsid w:val="00825EEF"/>
    <w:rsid w:val="00826204"/>
    <w:rsid w:val="008263E0"/>
    <w:rsid w:val="00826D90"/>
    <w:rsid w:val="00827015"/>
    <w:rsid w:val="00827109"/>
    <w:rsid w:val="008272E9"/>
    <w:rsid w:val="00827A41"/>
    <w:rsid w:val="00827AF3"/>
    <w:rsid w:val="0083179C"/>
    <w:rsid w:val="00832142"/>
    <w:rsid w:val="00832C18"/>
    <w:rsid w:val="00832CAF"/>
    <w:rsid w:val="0083311A"/>
    <w:rsid w:val="008331BB"/>
    <w:rsid w:val="008333BB"/>
    <w:rsid w:val="0083417A"/>
    <w:rsid w:val="00834512"/>
    <w:rsid w:val="008349E7"/>
    <w:rsid w:val="0083502E"/>
    <w:rsid w:val="008350E9"/>
    <w:rsid w:val="00835B82"/>
    <w:rsid w:val="00836133"/>
    <w:rsid w:val="0083657B"/>
    <w:rsid w:val="00836B5B"/>
    <w:rsid w:val="0083768C"/>
    <w:rsid w:val="00837E87"/>
    <w:rsid w:val="008400F9"/>
    <w:rsid w:val="008401C3"/>
    <w:rsid w:val="008404D7"/>
    <w:rsid w:val="00840634"/>
    <w:rsid w:val="00840A68"/>
    <w:rsid w:val="00840A83"/>
    <w:rsid w:val="00840D46"/>
    <w:rsid w:val="00841573"/>
    <w:rsid w:val="0084166C"/>
    <w:rsid w:val="008419A1"/>
    <w:rsid w:val="00841EE6"/>
    <w:rsid w:val="00841FA0"/>
    <w:rsid w:val="00842061"/>
    <w:rsid w:val="0084239E"/>
    <w:rsid w:val="0084296C"/>
    <w:rsid w:val="00842B49"/>
    <w:rsid w:val="00842DB7"/>
    <w:rsid w:val="0084387F"/>
    <w:rsid w:val="00843AFD"/>
    <w:rsid w:val="00843B2C"/>
    <w:rsid w:val="008444F8"/>
    <w:rsid w:val="008445D2"/>
    <w:rsid w:val="00844750"/>
    <w:rsid w:val="00844864"/>
    <w:rsid w:val="00845A92"/>
    <w:rsid w:val="00845F51"/>
    <w:rsid w:val="00846106"/>
    <w:rsid w:val="00846273"/>
    <w:rsid w:val="00846467"/>
    <w:rsid w:val="00846661"/>
    <w:rsid w:val="00846874"/>
    <w:rsid w:val="00846AC4"/>
    <w:rsid w:val="00846C77"/>
    <w:rsid w:val="00846E99"/>
    <w:rsid w:val="008470A4"/>
    <w:rsid w:val="00847964"/>
    <w:rsid w:val="00847991"/>
    <w:rsid w:val="00847C4E"/>
    <w:rsid w:val="00847F69"/>
    <w:rsid w:val="00850AE8"/>
    <w:rsid w:val="00850B13"/>
    <w:rsid w:val="00851B22"/>
    <w:rsid w:val="00852338"/>
    <w:rsid w:val="008523A3"/>
    <w:rsid w:val="00852AA6"/>
    <w:rsid w:val="00853C45"/>
    <w:rsid w:val="00854090"/>
    <w:rsid w:val="008540C8"/>
    <w:rsid w:val="00854983"/>
    <w:rsid w:val="00854A0C"/>
    <w:rsid w:val="00854A91"/>
    <w:rsid w:val="00854E0E"/>
    <w:rsid w:val="00855CA7"/>
    <w:rsid w:val="00856301"/>
    <w:rsid w:val="008569DF"/>
    <w:rsid w:val="00856C75"/>
    <w:rsid w:val="00856D2B"/>
    <w:rsid w:val="00856E4A"/>
    <w:rsid w:val="0085722A"/>
    <w:rsid w:val="00857686"/>
    <w:rsid w:val="00857C34"/>
    <w:rsid w:val="008600FD"/>
    <w:rsid w:val="0086037F"/>
    <w:rsid w:val="008604E6"/>
    <w:rsid w:val="0086067F"/>
    <w:rsid w:val="00860840"/>
    <w:rsid w:val="00860A4B"/>
    <w:rsid w:val="00860BAC"/>
    <w:rsid w:val="008611A3"/>
    <w:rsid w:val="00861750"/>
    <w:rsid w:val="00861B41"/>
    <w:rsid w:val="00861D65"/>
    <w:rsid w:val="00861DA1"/>
    <w:rsid w:val="00861EC0"/>
    <w:rsid w:val="008620C2"/>
    <w:rsid w:val="00862173"/>
    <w:rsid w:val="00862290"/>
    <w:rsid w:val="00862558"/>
    <w:rsid w:val="008626B0"/>
    <w:rsid w:val="00862988"/>
    <w:rsid w:val="00862A4E"/>
    <w:rsid w:val="00862BA2"/>
    <w:rsid w:val="00863096"/>
    <w:rsid w:val="00863479"/>
    <w:rsid w:val="00863AA0"/>
    <w:rsid w:val="00864A9F"/>
    <w:rsid w:val="00864C02"/>
    <w:rsid w:val="008650AB"/>
    <w:rsid w:val="00865696"/>
    <w:rsid w:val="00865D02"/>
    <w:rsid w:val="00865D4C"/>
    <w:rsid w:val="00865DE1"/>
    <w:rsid w:val="00866BFD"/>
    <w:rsid w:val="00866FEA"/>
    <w:rsid w:val="00867255"/>
    <w:rsid w:val="008678F0"/>
    <w:rsid w:val="00870018"/>
    <w:rsid w:val="00870637"/>
    <w:rsid w:val="00870793"/>
    <w:rsid w:val="00870869"/>
    <w:rsid w:val="008708B4"/>
    <w:rsid w:val="00870A1C"/>
    <w:rsid w:val="00871029"/>
    <w:rsid w:val="00871096"/>
    <w:rsid w:val="00871171"/>
    <w:rsid w:val="008711F8"/>
    <w:rsid w:val="00871372"/>
    <w:rsid w:val="00871D14"/>
    <w:rsid w:val="008722B0"/>
    <w:rsid w:val="0087250F"/>
    <w:rsid w:val="00872C7C"/>
    <w:rsid w:val="00872D63"/>
    <w:rsid w:val="00872F39"/>
    <w:rsid w:val="00873463"/>
    <w:rsid w:val="008734E7"/>
    <w:rsid w:val="00873BF0"/>
    <w:rsid w:val="00873C85"/>
    <w:rsid w:val="008742CE"/>
    <w:rsid w:val="00874E33"/>
    <w:rsid w:val="00874FAC"/>
    <w:rsid w:val="0087504C"/>
    <w:rsid w:val="00875755"/>
    <w:rsid w:val="00875905"/>
    <w:rsid w:val="00875F79"/>
    <w:rsid w:val="00875FBD"/>
    <w:rsid w:val="00876AC7"/>
    <w:rsid w:val="0087763F"/>
    <w:rsid w:val="00877640"/>
    <w:rsid w:val="00877C45"/>
    <w:rsid w:val="00877C57"/>
    <w:rsid w:val="00877FA3"/>
    <w:rsid w:val="008804C9"/>
    <w:rsid w:val="00880D84"/>
    <w:rsid w:val="00880E95"/>
    <w:rsid w:val="008810DF"/>
    <w:rsid w:val="008810FA"/>
    <w:rsid w:val="00881842"/>
    <w:rsid w:val="008819A5"/>
    <w:rsid w:val="00881F28"/>
    <w:rsid w:val="008829DC"/>
    <w:rsid w:val="00882BB1"/>
    <w:rsid w:val="00882C9C"/>
    <w:rsid w:val="00883004"/>
    <w:rsid w:val="00883ADF"/>
    <w:rsid w:val="00883ED6"/>
    <w:rsid w:val="00884255"/>
    <w:rsid w:val="0088425B"/>
    <w:rsid w:val="00884264"/>
    <w:rsid w:val="00884AD8"/>
    <w:rsid w:val="00884CDF"/>
    <w:rsid w:val="0088579F"/>
    <w:rsid w:val="00885D5D"/>
    <w:rsid w:val="00885EC9"/>
    <w:rsid w:val="00885F46"/>
    <w:rsid w:val="00885F7A"/>
    <w:rsid w:val="00886223"/>
    <w:rsid w:val="0088651F"/>
    <w:rsid w:val="0088697F"/>
    <w:rsid w:val="00887472"/>
    <w:rsid w:val="008876DF"/>
    <w:rsid w:val="00887771"/>
    <w:rsid w:val="00887FEF"/>
    <w:rsid w:val="008907B2"/>
    <w:rsid w:val="00890BCD"/>
    <w:rsid w:val="00890E0D"/>
    <w:rsid w:val="00890F04"/>
    <w:rsid w:val="00890FBE"/>
    <w:rsid w:val="00891F63"/>
    <w:rsid w:val="00892253"/>
    <w:rsid w:val="008922DF"/>
    <w:rsid w:val="00893024"/>
    <w:rsid w:val="0089302F"/>
    <w:rsid w:val="00893B3B"/>
    <w:rsid w:val="00893BA4"/>
    <w:rsid w:val="00893DB3"/>
    <w:rsid w:val="00894790"/>
    <w:rsid w:val="008948A0"/>
    <w:rsid w:val="00894A2E"/>
    <w:rsid w:val="00894ADC"/>
    <w:rsid w:val="00895243"/>
    <w:rsid w:val="00895A0C"/>
    <w:rsid w:val="00895AA1"/>
    <w:rsid w:val="00895E55"/>
    <w:rsid w:val="008961A5"/>
    <w:rsid w:val="008965CC"/>
    <w:rsid w:val="0089699C"/>
    <w:rsid w:val="00896D10"/>
    <w:rsid w:val="00896DF5"/>
    <w:rsid w:val="00896FD8"/>
    <w:rsid w:val="00897082"/>
    <w:rsid w:val="008970F6"/>
    <w:rsid w:val="008972CB"/>
    <w:rsid w:val="008975C4"/>
    <w:rsid w:val="00897FA7"/>
    <w:rsid w:val="008A0173"/>
    <w:rsid w:val="008A0339"/>
    <w:rsid w:val="008A03A0"/>
    <w:rsid w:val="008A0473"/>
    <w:rsid w:val="008A04C7"/>
    <w:rsid w:val="008A1C65"/>
    <w:rsid w:val="008A1EA1"/>
    <w:rsid w:val="008A1FBC"/>
    <w:rsid w:val="008A24BD"/>
    <w:rsid w:val="008A288A"/>
    <w:rsid w:val="008A294D"/>
    <w:rsid w:val="008A2AAE"/>
    <w:rsid w:val="008A2F26"/>
    <w:rsid w:val="008A36ED"/>
    <w:rsid w:val="008A3898"/>
    <w:rsid w:val="008A39E2"/>
    <w:rsid w:val="008A42D8"/>
    <w:rsid w:val="008A457F"/>
    <w:rsid w:val="008A47BC"/>
    <w:rsid w:val="008A4DAC"/>
    <w:rsid w:val="008A4E04"/>
    <w:rsid w:val="008A53C3"/>
    <w:rsid w:val="008A5846"/>
    <w:rsid w:val="008A59E9"/>
    <w:rsid w:val="008A5AB1"/>
    <w:rsid w:val="008A5FE7"/>
    <w:rsid w:val="008A62D3"/>
    <w:rsid w:val="008A631F"/>
    <w:rsid w:val="008A668F"/>
    <w:rsid w:val="008A6F9D"/>
    <w:rsid w:val="008A72A4"/>
    <w:rsid w:val="008A758D"/>
    <w:rsid w:val="008A75C5"/>
    <w:rsid w:val="008A7669"/>
    <w:rsid w:val="008A76CB"/>
    <w:rsid w:val="008A7819"/>
    <w:rsid w:val="008A7B15"/>
    <w:rsid w:val="008B01A2"/>
    <w:rsid w:val="008B07C2"/>
    <w:rsid w:val="008B097E"/>
    <w:rsid w:val="008B0CD0"/>
    <w:rsid w:val="008B0F9B"/>
    <w:rsid w:val="008B130E"/>
    <w:rsid w:val="008B1651"/>
    <w:rsid w:val="008B175A"/>
    <w:rsid w:val="008B182D"/>
    <w:rsid w:val="008B18CE"/>
    <w:rsid w:val="008B2052"/>
    <w:rsid w:val="008B21F5"/>
    <w:rsid w:val="008B269F"/>
    <w:rsid w:val="008B2A2E"/>
    <w:rsid w:val="008B2AB2"/>
    <w:rsid w:val="008B2D1D"/>
    <w:rsid w:val="008B2DEB"/>
    <w:rsid w:val="008B30EB"/>
    <w:rsid w:val="008B3779"/>
    <w:rsid w:val="008B3E81"/>
    <w:rsid w:val="008B41EF"/>
    <w:rsid w:val="008B4230"/>
    <w:rsid w:val="008B447F"/>
    <w:rsid w:val="008B44A9"/>
    <w:rsid w:val="008B4A4A"/>
    <w:rsid w:val="008B4B0D"/>
    <w:rsid w:val="008B4B33"/>
    <w:rsid w:val="008B5448"/>
    <w:rsid w:val="008B5577"/>
    <w:rsid w:val="008B60ED"/>
    <w:rsid w:val="008B66CB"/>
    <w:rsid w:val="008B6E5C"/>
    <w:rsid w:val="008B6EEA"/>
    <w:rsid w:val="008C1161"/>
    <w:rsid w:val="008C18DB"/>
    <w:rsid w:val="008C2135"/>
    <w:rsid w:val="008C2236"/>
    <w:rsid w:val="008C2426"/>
    <w:rsid w:val="008C2453"/>
    <w:rsid w:val="008C26B4"/>
    <w:rsid w:val="008C2767"/>
    <w:rsid w:val="008C2BC8"/>
    <w:rsid w:val="008C4B47"/>
    <w:rsid w:val="008C4D56"/>
    <w:rsid w:val="008C570A"/>
    <w:rsid w:val="008C59D5"/>
    <w:rsid w:val="008C5B10"/>
    <w:rsid w:val="008C6970"/>
    <w:rsid w:val="008C69DC"/>
    <w:rsid w:val="008C6C7A"/>
    <w:rsid w:val="008C6D71"/>
    <w:rsid w:val="008C6F4F"/>
    <w:rsid w:val="008C6F9B"/>
    <w:rsid w:val="008C6FA2"/>
    <w:rsid w:val="008C7245"/>
    <w:rsid w:val="008C74CC"/>
    <w:rsid w:val="008C7652"/>
    <w:rsid w:val="008C76D5"/>
    <w:rsid w:val="008C7F77"/>
    <w:rsid w:val="008D0459"/>
    <w:rsid w:val="008D05D2"/>
    <w:rsid w:val="008D069D"/>
    <w:rsid w:val="008D0A7A"/>
    <w:rsid w:val="008D0B27"/>
    <w:rsid w:val="008D133B"/>
    <w:rsid w:val="008D13DC"/>
    <w:rsid w:val="008D149D"/>
    <w:rsid w:val="008D1988"/>
    <w:rsid w:val="008D1E23"/>
    <w:rsid w:val="008D2209"/>
    <w:rsid w:val="008D2461"/>
    <w:rsid w:val="008D2CFC"/>
    <w:rsid w:val="008D2DA4"/>
    <w:rsid w:val="008D3208"/>
    <w:rsid w:val="008D399A"/>
    <w:rsid w:val="008D4318"/>
    <w:rsid w:val="008D453F"/>
    <w:rsid w:val="008D508F"/>
    <w:rsid w:val="008D538D"/>
    <w:rsid w:val="008D5879"/>
    <w:rsid w:val="008D592F"/>
    <w:rsid w:val="008D5FCD"/>
    <w:rsid w:val="008D6255"/>
    <w:rsid w:val="008D65B3"/>
    <w:rsid w:val="008D6733"/>
    <w:rsid w:val="008D6BDB"/>
    <w:rsid w:val="008D6E70"/>
    <w:rsid w:val="008D6F90"/>
    <w:rsid w:val="008D7554"/>
    <w:rsid w:val="008D7615"/>
    <w:rsid w:val="008D76A0"/>
    <w:rsid w:val="008D7787"/>
    <w:rsid w:val="008D78FC"/>
    <w:rsid w:val="008D7DEB"/>
    <w:rsid w:val="008E04B5"/>
    <w:rsid w:val="008E074C"/>
    <w:rsid w:val="008E0CDD"/>
    <w:rsid w:val="008E0E89"/>
    <w:rsid w:val="008E0E8C"/>
    <w:rsid w:val="008E1217"/>
    <w:rsid w:val="008E15AC"/>
    <w:rsid w:val="008E1B6C"/>
    <w:rsid w:val="008E1FDF"/>
    <w:rsid w:val="008E2051"/>
    <w:rsid w:val="008E20D6"/>
    <w:rsid w:val="008E20EC"/>
    <w:rsid w:val="008E225F"/>
    <w:rsid w:val="008E2562"/>
    <w:rsid w:val="008E2B47"/>
    <w:rsid w:val="008E2C9C"/>
    <w:rsid w:val="008E2E43"/>
    <w:rsid w:val="008E2E8C"/>
    <w:rsid w:val="008E378A"/>
    <w:rsid w:val="008E3F52"/>
    <w:rsid w:val="008E412D"/>
    <w:rsid w:val="008E451A"/>
    <w:rsid w:val="008E48FD"/>
    <w:rsid w:val="008E4CA5"/>
    <w:rsid w:val="008E52DD"/>
    <w:rsid w:val="008E5412"/>
    <w:rsid w:val="008E5625"/>
    <w:rsid w:val="008E5B5F"/>
    <w:rsid w:val="008E5D5A"/>
    <w:rsid w:val="008E624A"/>
    <w:rsid w:val="008E6788"/>
    <w:rsid w:val="008E743E"/>
    <w:rsid w:val="008E7684"/>
    <w:rsid w:val="008E76C6"/>
    <w:rsid w:val="008E7DB3"/>
    <w:rsid w:val="008E7F9D"/>
    <w:rsid w:val="008F0090"/>
    <w:rsid w:val="008F01AB"/>
    <w:rsid w:val="008F044C"/>
    <w:rsid w:val="008F0460"/>
    <w:rsid w:val="008F06E5"/>
    <w:rsid w:val="008F0BA6"/>
    <w:rsid w:val="008F0FC8"/>
    <w:rsid w:val="008F1CF8"/>
    <w:rsid w:val="008F211C"/>
    <w:rsid w:val="008F2201"/>
    <w:rsid w:val="008F2A8C"/>
    <w:rsid w:val="008F2AE7"/>
    <w:rsid w:val="008F3069"/>
    <w:rsid w:val="008F35F6"/>
    <w:rsid w:val="008F38CA"/>
    <w:rsid w:val="008F3D2D"/>
    <w:rsid w:val="008F3D7C"/>
    <w:rsid w:val="008F3DC9"/>
    <w:rsid w:val="008F4107"/>
    <w:rsid w:val="008F4B0F"/>
    <w:rsid w:val="008F4BFE"/>
    <w:rsid w:val="008F4E3F"/>
    <w:rsid w:val="008F5406"/>
    <w:rsid w:val="008F5461"/>
    <w:rsid w:val="008F5866"/>
    <w:rsid w:val="008F595E"/>
    <w:rsid w:val="008F6188"/>
    <w:rsid w:val="008F6649"/>
    <w:rsid w:val="008F692B"/>
    <w:rsid w:val="008F6CD1"/>
    <w:rsid w:val="008F6FBB"/>
    <w:rsid w:val="008F7365"/>
    <w:rsid w:val="008F7BD6"/>
    <w:rsid w:val="008F7CEF"/>
    <w:rsid w:val="009000FD"/>
    <w:rsid w:val="00900B17"/>
    <w:rsid w:val="00900B60"/>
    <w:rsid w:val="00900DDE"/>
    <w:rsid w:val="00900DF1"/>
    <w:rsid w:val="00900E2E"/>
    <w:rsid w:val="009011F3"/>
    <w:rsid w:val="009012ED"/>
    <w:rsid w:val="00901837"/>
    <w:rsid w:val="00901845"/>
    <w:rsid w:val="00901B88"/>
    <w:rsid w:val="009022BC"/>
    <w:rsid w:val="0090255A"/>
    <w:rsid w:val="00902686"/>
    <w:rsid w:val="00902734"/>
    <w:rsid w:val="00903281"/>
    <w:rsid w:val="00903F0F"/>
    <w:rsid w:val="00903F59"/>
    <w:rsid w:val="009045C7"/>
    <w:rsid w:val="0090480E"/>
    <w:rsid w:val="00904A62"/>
    <w:rsid w:val="00904B6D"/>
    <w:rsid w:val="00904D35"/>
    <w:rsid w:val="00904E71"/>
    <w:rsid w:val="00904F2B"/>
    <w:rsid w:val="00905A06"/>
    <w:rsid w:val="00905BC8"/>
    <w:rsid w:val="00905F49"/>
    <w:rsid w:val="00906100"/>
    <w:rsid w:val="0090672A"/>
    <w:rsid w:val="009067B8"/>
    <w:rsid w:val="00906EED"/>
    <w:rsid w:val="00907071"/>
    <w:rsid w:val="0090715C"/>
    <w:rsid w:val="009076AC"/>
    <w:rsid w:val="00907BEE"/>
    <w:rsid w:val="00910874"/>
    <w:rsid w:val="009108A7"/>
    <w:rsid w:val="009112C7"/>
    <w:rsid w:val="00911A5A"/>
    <w:rsid w:val="00911E1A"/>
    <w:rsid w:val="0091225D"/>
    <w:rsid w:val="009123B9"/>
    <w:rsid w:val="00912A63"/>
    <w:rsid w:val="00912A96"/>
    <w:rsid w:val="00912F6D"/>
    <w:rsid w:val="00913AF7"/>
    <w:rsid w:val="00913B67"/>
    <w:rsid w:val="00913F4C"/>
    <w:rsid w:val="0091404B"/>
    <w:rsid w:val="009140A5"/>
    <w:rsid w:val="00914215"/>
    <w:rsid w:val="0091423A"/>
    <w:rsid w:val="00914445"/>
    <w:rsid w:val="009146B0"/>
    <w:rsid w:val="00914A5D"/>
    <w:rsid w:val="00915032"/>
    <w:rsid w:val="00915143"/>
    <w:rsid w:val="009151C0"/>
    <w:rsid w:val="0091537E"/>
    <w:rsid w:val="00915399"/>
    <w:rsid w:val="009154BD"/>
    <w:rsid w:val="00915570"/>
    <w:rsid w:val="009156C5"/>
    <w:rsid w:val="0091610F"/>
    <w:rsid w:val="009161BA"/>
    <w:rsid w:val="00917E0A"/>
    <w:rsid w:val="0092078E"/>
    <w:rsid w:val="00920848"/>
    <w:rsid w:val="00920B0E"/>
    <w:rsid w:val="009216BF"/>
    <w:rsid w:val="009218D2"/>
    <w:rsid w:val="00921A44"/>
    <w:rsid w:val="00921A74"/>
    <w:rsid w:val="00921C9F"/>
    <w:rsid w:val="00921ED5"/>
    <w:rsid w:val="00921FA1"/>
    <w:rsid w:val="00921FC2"/>
    <w:rsid w:val="009225B6"/>
    <w:rsid w:val="00922815"/>
    <w:rsid w:val="00923151"/>
    <w:rsid w:val="009235CF"/>
    <w:rsid w:val="00923821"/>
    <w:rsid w:val="00924108"/>
    <w:rsid w:val="0092507E"/>
    <w:rsid w:val="009250C2"/>
    <w:rsid w:val="00925267"/>
    <w:rsid w:val="00925570"/>
    <w:rsid w:val="00925579"/>
    <w:rsid w:val="00925836"/>
    <w:rsid w:val="009259E2"/>
    <w:rsid w:val="00925B5F"/>
    <w:rsid w:val="00925B66"/>
    <w:rsid w:val="00925DD1"/>
    <w:rsid w:val="009260EC"/>
    <w:rsid w:val="00926264"/>
    <w:rsid w:val="00926595"/>
    <w:rsid w:val="0092686F"/>
    <w:rsid w:val="0092698B"/>
    <w:rsid w:val="009269EB"/>
    <w:rsid w:val="00927232"/>
    <w:rsid w:val="00927522"/>
    <w:rsid w:val="0092784B"/>
    <w:rsid w:val="009279AF"/>
    <w:rsid w:val="0093011E"/>
    <w:rsid w:val="009301E4"/>
    <w:rsid w:val="00930305"/>
    <w:rsid w:val="0093063D"/>
    <w:rsid w:val="00930A2E"/>
    <w:rsid w:val="0093135E"/>
    <w:rsid w:val="00931DF8"/>
    <w:rsid w:val="00932109"/>
    <w:rsid w:val="009322AC"/>
    <w:rsid w:val="009324B1"/>
    <w:rsid w:val="009326B1"/>
    <w:rsid w:val="009327B5"/>
    <w:rsid w:val="00932A20"/>
    <w:rsid w:val="00932F7F"/>
    <w:rsid w:val="00933D61"/>
    <w:rsid w:val="00933DE4"/>
    <w:rsid w:val="00934044"/>
    <w:rsid w:val="00934747"/>
    <w:rsid w:val="00934FFD"/>
    <w:rsid w:val="009359C0"/>
    <w:rsid w:val="00935B52"/>
    <w:rsid w:val="009360F7"/>
    <w:rsid w:val="0093634D"/>
    <w:rsid w:val="0093672B"/>
    <w:rsid w:val="00936B8C"/>
    <w:rsid w:val="00936D07"/>
    <w:rsid w:val="009370A6"/>
    <w:rsid w:val="009373C5"/>
    <w:rsid w:val="00937AC7"/>
    <w:rsid w:val="00937D15"/>
    <w:rsid w:val="00940A5D"/>
    <w:rsid w:val="00940BCB"/>
    <w:rsid w:val="00940D76"/>
    <w:rsid w:val="00940D85"/>
    <w:rsid w:val="00940DF4"/>
    <w:rsid w:val="00940FB5"/>
    <w:rsid w:val="00941259"/>
    <w:rsid w:val="0094148B"/>
    <w:rsid w:val="00941A1C"/>
    <w:rsid w:val="00941B97"/>
    <w:rsid w:val="00941E13"/>
    <w:rsid w:val="009421B3"/>
    <w:rsid w:val="0094267F"/>
    <w:rsid w:val="00942A7F"/>
    <w:rsid w:val="00942BB8"/>
    <w:rsid w:val="00942BC8"/>
    <w:rsid w:val="00942E21"/>
    <w:rsid w:val="00942EF9"/>
    <w:rsid w:val="0094335F"/>
    <w:rsid w:val="0094376F"/>
    <w:rsid w:val="00944202"/>
    <w:rsid w:val="00944335"/>
    <w:rsid w:val="0094484A"/>
    <w:rsid w:val="00944AF4"/>
    <w:rsid w:val="00945E49"/>
    <w:rsid w:val="009462D8"/>
    <w:rsid w:val="00946388"/>
    <w:rsid w:val="0094663A"/>
    <w:rsid w:val="00946AA5"/>
    <w:rsid w:val="00946C4B"/>
    <w:rsid w:val="009478ED"/>
    <w:rsid w:val="009479E5"/>
    <w:rsid w:val="00950781"/>
    <w:rsid w:val="009509D7"/>
    <w:rsid w:val="00950B09"/>
    <w:rsid w:val="00950DD1"/>
    <w:rsid w:val="00950FFB"/>
    <w:rsid w:val="0095130F"/>
    <w:rsid w:val="00951417"/>
    <w:rsid w:val="0095154C"/>
    <w:rsid w:val="0095183E"/>
    <w:rsid w:val="00951995"/>
    <w:rsid w:val="00951C7E"/>
    <w:rsid w:val="00951CF6"/>
    <w:rsid w:val="00952ACA"/>
    <w:rsid w:val="00952C70"/>
    <w:rsid w:val="00952FA0"/>
    <w:rsid w:val="00953424"/>
    <w:rsid w:val="009537A7"/>
    <w:rsid w:val="00953B1F"/>
    <w:rsid w:val="00953C21"/>
    <w:rsid w:val="009548C3"/>
    <w:rsid w:val="00954BFC"/>
    <w:rsid w:val="00954E67"/>
    <w:rsid w:val="0095506D"/>
    <w:rsid w:val="009551B9"/>
    <w:rsid w:val="009555E2"/>
    <w:rsid w:val="009557DF"/>
    <w:rsid w:val="00955A2E"/>
    <w:rsid w:val="00955B1F"/>
    <w:rsid w:val="00955C57"/>
    <w:rsid w:val="00955D2B"/>
    <w:rsid w:val="00955D6A"/>
    <w:rsid w:val="00955E8D"/>
    <w:rsid w:val="00956101"/>
    <w:rsid w:val="00956957"/>
    <w:rsid w:val="009573C6"/>
    <w:rsid w:val="009573C8"/>
    <w:rsid w:val="00957487"/>
    <w:rsid w:val="00957B6B"/>
    <w:rsid w:val="00957D9C"/>
    <w:rsid w:val="00957E93"/>
    <w:rsid w:val="00960393"/>
    <w:rsid w:val="009603AB"/>
    <w:rsid w:val="00960475"/>
    <w:rsid w:val="00960479"/>
    <w:rsid w:val="009607AF"/>
    <w:rsid w:val="00960A88"/>
    <w:rsid w:val="00960C68"/>
    <w:rsid w:val="00960CB6"/>
    <w:rsid w:val="00960D27"/>
    <w:rsid w:val="00961023"/>
    <w:rsid w:val="009612F1"/>
    <w:rsid w:val="009616FA"/>
    <w:rsid w:val="00961A61"/>
    <w:rsid w:val="00961E6D"/>
    <w:rsid w:val="00961F21"/>
    <w:rsid w:val="009621FF"/>
    <w:rsid w:val="0096392B"/>
    <w:rsid w:val="0096397B"/>
    <w:rsid w:val="00963F73"/>
    <w:rsid w:val="00964E3C"/>
    <w:rsid w:val="00964E69"/>
    <w:rsid w:val="0096504D"/>
    <w:rsid w:val="009654F0"/>
    <w:rsid w:val="009659EA"/>
    <w:rsid w:val="0096691D"/>
    <w:rsid w:val="00966EC4"/>
    <w:rsid w:val="0096766C"/>
    <w:rsid w:val="00967851"/>
    <w:rsid w:val="00967D2D"/>
    <w:rsid w:val="00970F7A"/>
    <w:rsid w:val="00970FE3"/>
    <w:rsid w:val="00971C7D"/>
    <w:rsid w:val="00971EC5"/>
    <w:rsid w:val="00971F6B"/>
    <w:rsid w:val="00971FCC"/>
    <w:rsid w:val="00972562"/>
    <w:rsid w:val="0097281F"/>
    <w:rsid w:val="0097285C"/>
    <w:rsid w:val="0097298A"/>
    <w:rsid w:val="00972BB7"/>
    <w:rsid w:val="00972C06"/>
    <w:rsid w:val="00972F4C"/>
    <w:rsid w:val="00972FEB"/>
    <w:rsid w:val="00973257"/>
    <w:rsid w:val="00973388"/>
    <w:rsid w:val="00973592"/>
    <w:rsid w:val="0097383E"/>
    <w:rsid w:val="009738E5"/>
    <w:rsid w:val="00973F29"/>
    <w:rsid w:val="00974182"/>
    <w:rsid w:val="009744FF"/>
    <w:rsid w:val="00974520"/>
    <w:rsid w:val="00974B9F"/>
    <w:rsid w:val="00974EBD"/>
    <w:rsid w:val="00974FB0"/>
    <w:rsid w:val="009751BA"/>
    <w:rsid w:val="0097539E"/>
    <w:rsid w:val="0097577E"/>
    <w:rsid w:val="0097584E"/>
    <w:rsid w:val="009765CF"/>
    <w:rsid w:val="00976989"/>
    <w:rsid w:val="00976D1B"/>
    <w:rsid w:val="00976FFB"/>
    <w:rsid w:val="00977852"/>
    <w:rsid w:val="009778AB"/>
    <w:rsid w:val="00980403"/>
    <w:rsid w:val="009804CB"/>
    <w:rsid w:val="009809DD"/>
    <w:rsid w:val="00980ACA"/>
    <w:rsid w:val="00980D29"/>
    <w:rsid w:val="00980F14"/>
    <w:rsid w:val="00981BAF"/>
    <w:rsid w:val="00981D66"/>
    <w:rsid w:val="00981E33"/>
    <w:rsid w:val="00981FCE"/>
    <w:rsid w:val="00982314"/>
    <w:rsid w:val="00982768"/>
    <w:rsid w:val="00982773"/>
    <w:rsid w:val="00982AB4"/>
    <w:rsid w:val="00982E67"/>
    <w:rsid w:val="00983007"/>
    <w:rsid w:val="00983061"/>
    <w:rsid w:val="00983223"/>
    <w:rsid w:val="009838CE"/>
    <w:rsid w:val="00983B9C"/>
    <w:rsid w:val="00983BD1"/>
    <w:rsid w:val="00983C41"/>
    <w:rsid w:val="00984206"/>
    <w:rsid w:val="009846DE"/>
    <w:rsid w:val="00984C8E"/>
    <w:rsid w:val="00984E26"/>
    <w:rsid w:val="0098511E"/>
    <w:rsid w:val="00985133"/>
    <w:rsid w:val="0098541D"/>
    <w:rsid w:val="00985BA2"/>
    <w:rsid w:val="00985CA4"/>
    <w:rsid w:val="00986956"/>
    <w:rsid w:val="00986B31"/>
    <w:rsid w:val="009873AF"/>
    <w:rsid w:val="009875A6"/>
    <w:rsid w:val="009876A0"/>
    <w:rsid w:val="009879B5"/>
    <w:rsid w:val="009879F4"/>
    <w:rsid w:val="00987A56"/>
    <w:rsid w:val="00987E33"/>
    <w:rsid w:val="0099005F"/>
    <w:rsid w:val="00990E93"/>
    <w:rsid w:val="009917F3"/>
    <w:rsid w:val="00991F39"/>
    <w:rsid w:val="0099256F"/>
    <w:rsid w:val="00992624"/>
    <w:rsid w:val="009927C4"/>
    <w:rsid w:val="00992A4E"/>
    <w:rsid w:val="00992ED6"/>
    <w:rsid w:val="00993075"/>
    <w:rsid w:val="009930C0"/>
    <w:rsid w:val="0099324C"/>
    <w:rsid w:val="00993627"/>
    <w:rsid w:val="0099367D"/>
    <w:rsid w:val="009936F0"/>
    <w:rsid w:val="0099464F"/>
    <w:rsid w:val="00994D59"/>
    <w:rsid w:val="009951AB"/>
    <w:rsid w:val="0099531F"/>
    <w:rsid w:val="00995360"/>
    <w:rsid w:val="009954AD"/>
    <w:rsid w:val="0099647E"/>
    <w:rsid w:val="00996A8B"/>
    <w:rsid w:val="00996CD4"/>
    <w:rsid w:val="00997033"/>
    <w:rsid w:val="0099731A"/>
    <w:rsid w:val="009975D0"/>
    <w:rsid w:val="009979D6"/>
    <w:rsid w:val="00997CA3"/>
    <w:rsid w:val="009A0212"/>
    <w:rsid w:val="009A031F"/>
    <w:rsid w:val="009A0C1F"/>
    <w:rsid w:val="009A12A5"/>
    <w:rsid w:val="009A1DFF"/>
    <w:rsid w:val="009A1E8A"/>
    <w:rsid w:val="009A2144"/>
    <w:rsid w:val="009A246A"/>
    <w:rsid w:val="009A3183"/>
    <w:rsid w:val="009A32D7"/>
    <w:rsid w:val="009A3576"/>
    <w:rsid w:val="009A3A6D"/>
    <w:rsid w:val="009A3AB5"/>
    <w:rsid w:val="009A3BA5"/>
    <w:rsid w:val="009A4AA9"/>
    <w:rsid w:val="009A4EA0"/>
    <w:rsid w:val="009A516A"/>
    <w:rsid w:val="009A56A7"/>
    <w:rsid w:val="009A5EF9"/>
    <w:rsid w:val="009A6127"/>
    <w:rsid w:val="009A62DC"/>
    <w:rsid w:val="009A637B"/>
    <w:rsid w:val="009A6456"/>
    <w:rsid w:val="009A6C74"/>
    <w:rsid w:val="009A6EE7"/>
    <w:rsid w:val="009A7154"/>
    <w:rsid w:val="009A78D1"/>
    <w:rsid w:val="009A7DFB"/>
    <w:rsid w:val="009A7E08"/>
    <w:rsid w:val="009B003C"/>
    <w:rsid w:val="009B1823"/>
    <w:rsid w:val="009B2E47"/>
    <w:rsid w:val="009B3685"/>
    <w:rsid w:val="009B3745"/>
    <w:rsid w:val="009B3C79"/>
    <w:rsid w:val="009B3D47"/>
    <w:rsid w:val="009B4250"/>
    <w:rsid w:val="009B4821"/>
    <w:rsid w:val="009B4C1C"/>
    <w:rsid w:val="009B4C24"/>
    <w:rsid w:val="009B5821"/>
    <w:rsid w:val="009B70E9"/>
    <w:rsid w:val="009B7564"/>
    <w:rsid w:val="009B7BB7"/>
    <w:rsid w:val="009B7D5C"/>
    <w:rsid w:val="009B7DF5"/>
    <w:rsid w:val="009B7FFA"/>
    <w:rsid w:val="009C00EF"/>
    <w:rsid w:val="009C0BC1"/>
    <w:rsid w:val="009C0DBE"/>
    <w:rsid w:val="009C1035"/>
    <w:rsid w:val="009C19BC"/>
    <w:rsid w:val="009C19D2"/>
    <w:rsid w:val="009C1BF9"/>
    <w:rsid w:val="009C1D4B"/>
    <w:rsid w:val="009C1E0C"/>
    <w:rsid w:val="009C206F"/>
    <w:rsid w:val="009C281C"/>
    <w:rsid w:val="009C2AB0"/>
    <w:rsid w:val="009C2B1C"/>
    <w:rsid w:val="009C3D88"/>
    <w:rsid w:val="009C42A3"/>
    <w:rsid w:val="009C4B76"/>
    <w:rsid w:val="009C509F"/>
    <w:rsid w:val="009C520B"/>
    <w:rsid w:val="009C5785"/>
    <w:rsid w:val="009C5874"/>
    <w:rsid w:val="009C6768"/>
    <w:rsid w:val="009C6894"/>
    <w:rsid w:val="009C6B3B"/>
    <w:rsid w:val="009C6B7B"/>
    <w:rsid w:val="009C6E93"/>
    <w:rsid w:val="009C73C4"/>
    <w:rsid w:val="009C7CE4"/>
    <w:rsid w:val="009C7F47"/>
    <w:rsid w:val="009D008A"/>
    <w:rsid w:val="009D0361"/>
    <w:rsid w:val="009D0720"/>
    <w:rsid w:val="009D0C8D"/>
    <w:rsid w:val="009D1342"/>
    <w:rsid w:val="009D15EA"/>
    <w:rsid w:val="009D1ED3"/>
    <w:rsid w:val="009D1F69"/>
    <w:rsid w:val="009D2118"/>
    <w:rsid w:val="009D22EA"/>
    <w:rsid w:val="009D2453"/>
    <w:rsid w:val="009D2CDE"/>
    <w:rsid w:val="009D394E"/>
    <w:rsid w:val="009D422B"/>
    <w:rsid w:val="009D4303"/>
    <w:rsid w:val="009D478C"/>
    <w:rsid w:val="009D49A4"/>
    <w:rsid w:val="009D4A8E"/>
    <w:rsid w:val="009D4DA3"/>
    <w:rsid w:val="009D4F83"/>
    <w:rsid w:val="009D5BBF"/>
    <w:rsid w:val="009D610C"/>
    <w:rsid w:val="009D62E7"/>
    <w:rsid w:val="009D6624"/>
    <w:rsid w:val="009D6BF6"/>
    <w:rsid w:val="009D6D66"/>
    <w:rsid w:val="009D6F4D"/>
    <w:rsid w:val="009D75A4"/>
    <w:rsid w:val="009D785E"/>
    <w:rsid w:val="009E04A9"/>
    <w:rsid w:val="009E04FB"/>
    <w:rsid w:val="009E0871"/>
    <w:rsid w:val="009E1012"/>
    <w:rsid w:val="009E1137"/>
    <w:rsid w:val="009E176B"/>
    <w:rsid w:val="009E1E2C"/>
    <w:rsid w:val="009E1F70"/>
    <w:rsid w:val="009E21A4"/>
    <w:rsid w:val="009E2234"/>
    <w:rsid w:val="009E2BE6"/>
    <w:rsid w:val="009E2CB8"/>
    <w:rsid w:val="009E2DD3"/>
    <w:rsid w:val="009E2EAE"/>
    <w:rsid w:val="009E2F97"/>
    <w:rsid w:val="009E3644"/>
    <w:rsid w:val="009E3759"/>
    <w:rsid w:val="009E3790"/>
    <w:rsid w:val="009E3C31"/>
    <w:rsid w:val="009E3E19"/>
    <w:rsid w:val="009E457F"/>
    <w:rsid w:val="009E4FCC"/>
    <w:rsid w:val="009E5656"/>
    <w:rsid w:val="009E5AB4"/>
    <w:rsid w:val="009E60C7"/>
    <w:rsid w:val="009E641D"/>
    <w:rsid w:val="009E6463"/>
    <w:rsid w:val="009E6A64"/>
    <w:rsid w:val="009E6FBA"/>
    <w:rsid w:val="009E6FC8"/>
    <w:rsid w:val="009E73D9"/>
    <w:rsid w:val="009E7789"/>
    <w:rsid w:val="009E7E9B"/>
    <w:rsid w:val="009F0258"/>
    <w:rsid w:val="009F02E1"/>
    <w:rsid w:val="009F056D"/>
    <w:rsid w:val="009F07FC"/>
    <w:rsid w:val="009F0992"/>
    <w:rsid w:val="009F0CD1"/>
    <w:rsid w:val="009F187B"/>
    <w:rsid w:val="009F1933"/>
    <w:rsid w:val="009F26C0"/>
    <w:rsid w:val="009F2A94"/>
    <w:rsid w:val="009F2AAF"/>
    <w:rsid w:val="009F2E7E"/>
    <w:rsid w:val="009F3A4B"/>
    <w:rsid w:val="009F4196"/>
    <w:rsid w:val="009F41E1"/>
    <w:rsid w:val="009F4375"/>
    <w:rsid w:val="009F483A"/>
    <w:rsid w:val="009F4F05"/>
    <w:rsid w:val="009F5606"/>
    <w:rsid w:val="009F5902"/>
    <w:rsid w:val="009F5CA4"/>
    <w:rsid w:val="009F6410"/>
    <w:rsid w:val="009F6457"/>
    <w:rsid w:val="009F7169"/>
    <w:rsid w:val="009F7465"/>
    <w:rsid w:val="009F7883"/>
    <w:rsid w:val="009F79BE"/>
    <w:rsid w:val="009F7C2E"/>
    <w:rsid w:val="00A0018E"/>
    <w:rsid w:val="00A004F2"/>
    <w:rsid w:val="00A00B60"/>
    <w:rsid w:val="00A01006"/>
    <w:rsid w:val="00A02B26"/>
    <w:rsid w:val="00A02BEC"/>
    <w:rsid w:val="00A02C96"/>
    <w:rsid w:val="00A02D52"/>
    <w:rsid w:val="00A02FBC"/>
    <w:rsid w:val="00A03A1D"/>
    <w:rsid w:val="00A043B9"/>
    <w:rsid w:val="00A04541"/>
    <w:rsid w:val="00A0461B"/>
    <w:rsid w:val="00A04A92"/>
    <w:rsid w:val="00A04DB3"/>
    <w:rsid w:val="00A04E65"/>
    <w:rsid w:val="00A0559E"/>
    <w:rsid w:val="00A05A1F"/>
    <w:rsid w:val="00A05AA6"/>
    <w:rsid w:val="00A05BD0"/>
    <w:rsid w:val="00A05DFF"/>
    <w:rsid w:val="00A062EA"/>
    <w:rsid w:val="00A06384"/>
    <w:rsid w:val="00A0648C"/>
    <w:rsid w:val="00A068D2"/>
    <w:rsid w:val="00A06ABB"/>
    <w:rsid w:val="00A06F57"/>
    <w:rsid w:val="00A06FF5"/>
    <w:rsid w:val="00A07065"/>
    <w:rsid w:val="00A07594"/>
    <w:rsid w:val="00A07654"/>
    <w:rsid w:val="00A07656"/>
    <w:rsid w:val="00A07B16"/>
    <w:rsid w:val="00A10230"/>
    <w:rsid w:val="00A105DB"/>
    <w:rsid w:val="00A106FE"/>
    <w:rsid w:val="00A107B6"/>
    <w:rsid w:val="00A10B48"/>
    <w:rsid w:val="00A114B5"/>
    <w:rsid w:val="00A115BF"/>
    <w:rsid w:val="00A1196F"/>
    <w:rsid w:val="00A1197E"/>
    <w:rsid w:val="00A11A89"/>
    <w:rsid w:val="00A11ACA"/>
    <w:rsid w:val="00A11DF9"/>
    <w:rsid w:val="00A11E0F"/>
    <w:rsid w:val="00A12206"/>
    <w:rsid w:val="00A12301"/>
    <w:rsid w:val="00A12929"/>
    <w:rsid w:val="00A12A73"/>
    <w:rsid w:val="00A12BEE"/>
    <w:rsid w:val="00A12DC4"/>
    <w:rsid w:val="00A12EE8"/>
    <w:rsid w:val="00A131A4"/>
    <w:rsid w:val="00A13299"/>
    <w:rsid w:val="00A13715"/>
    <w:rsid w:val="00A13A66"/>
    <w:rsid w:val="00A13B10"/>
    <w:rsid w:val="00A13CF1"/>
    <w:rsid w:val="00A145D0"/>
    <w:rsid w:val="00A157EC"/>
    <w:rsid w:val="00A158D3"/>
    <w:rsid w:val="00A15F2F"/>
    <w:rsid w:val="00A16150"/>
    <w:rsid w:val="00A163A7"/>
    <w:rsid w:val="00A16510"/>
    <w:rsid w:val="00A1686F"/>
    <w:rsid w:val="00A17180"/>
    <w:rsid w:val="00A1731C"/>
    <w:rsid w:val="00A17345"/>
    <w:rsid w:val="00A17648"/>
    <w:rsid w:val="00A1789B"/>
    <w:rsid w:val="00A179CC"/>
    <w:rsid w:val="00A17FA0"/>
    <w:rsid w:val="00A20232"/>
    <w:rsid w:val="00A205BF"/>
    <w:rsid w:val="00A205D4"/>
    <w:rsid w:val="00A20E24"/>
    <w:rsid w:val="00A2104B"/>
    <w:rsid w:val="00A210E9"/>
    <w:rsid w:val="00A218AE"/>
    <w:rsid w:val="00A21A9D"/>
    <w:rsid w:val="00A21AAA"/>
    <w:rsid w:val="00A21E51"/>
    <w:rsid w:val="00A2208A"/>
    <w:rsid w:val="00A22132"/>
    <w:rsid w:val="00A22207"/>
    <w:rsid w:val="00A22389"/>
    <w:rsid w:val="00A2260A"/>
    <w:rsid w:val="00A22664"/>
    <w:rsid w:val="00A2322E"/>
    <w:rsid w:val="00A23243"/>
    <w:rsid w:val="00A23590"/>
    <w:rsid w:val="00A23919"/>
    <w:rsid w:val="00A23921"/>
    <w:rsid w:val="00A23E0D"/>
    <w:rsid w:val="00A24002"/>
    <w:rsid w:val="00A2470A"/>
    <w:rsid w:val="00A2481C"/>
    <w:rsid w:val="00A24CCF"/>
    <w:rsid w:val="00A25296"/>
    <w:rsid w:val="00A253C6"/>
    <w:rsid w:val="00A2585A"/>
    <w:rsid w:val="00A25B10"/>
    <w:rsid w:val="00A25BD5"/>
    <w:rsid w:val="00A25C9D"/>
    <w:rsid w:val="00A261E4"/>
    <w:rsid w:val="00A265D9"/>
    <w:rsid w:val="00A26883"/>
    <w:rsid w:val="00A26D60"/>
    <w:rsid w:val="00A26EE0"/>
    <w:rsid w:val="00A2702B"/>
    <w:rsid w:val="00A279DC"/>
    <w:rsid w:val="00A30703"/>
    <w:rsid w:val="00A30BAE"/>
    <w:rsid w:val="00A3135B"/>
    <w:rsid w:val="00A313D0"/>
    <w:rsid w:val="00A314A9"/>
    <w:rsid w:val="00A31591"/>
    <w:rsid w:val="00A31E88"/>
    <w:rsid w:val="00A321EE"/>
    <w:rsid w:val="00A3226E"/>
    <w:rsid w:val="00A32284"/>
    <w:rsid w:val="00A325C2"/>
    <w:rsid w:val="00A325CC"/>
    <w:rsid w:val="00A327E2"/>
    <w:rsid w:val="00A329BB"/>
    <w:rsid w:val="00A32A44"/>
    <w:rsid w:val="00A32C37"/>
    <w:rsid w:val="00A3331F"/>
    <w:rsid w:val="00A3393A"/>
    <w:rsid w:val="00A34685"/>
    <w:rsid w:val="00A34AFB"/>
    <w:rsid w:val="00A34BE5"/>
    <w:rsid w:val="00A34DA0"/>
    <w:rsid w:val="00A35A0B"/>
    <w:rsid w:val="00A35BD0"/>
    <w:rsid w:val="00A362CB"/>
    <w:rsid w:val="00A3651A"/>
    <w:rsid w:val="00A37413"/>
    <w:rsid w:val="00A3747D"/>
    <w:rsid w:val="00A37A59"/>
    <w:rsid w:val="00A37E05"/>
    <w:rsid w:val="00A40531"/>
    <w:rsid w:val="00A40660"/>
    <w:rsid w:val="00A40C1E"/>
    <w:rsid w:val="00A41821"/>
    <w:rsid w:val="00A41C5C"/>
    <w:rsid w:val="00A41D7F"/>
    <w:rsid w:val="00A41EF0"/>
    <w:rsid w:val="00A422A2"/>
    <w:rsid w:val="00A42659"/>
    <w:rsid w:val="00A42B87"/>
    <w:rsid w:val="00A4339C"/>
    <w:rsid w:val="00A4392A"/>
    <w:rsid w:val="00A4424E"/>
    <w:rsid w:val="00A442E8"/>
    <w:rsid w:val="00A44882"/>
    <w:rsid w:val="00A44E28"/>
    <w:rsid w:val="00A44F39"/>
    <w:rsid w:val="00A45371"/>
    <w:rsid w:val="00A4570E"/>
    <w:rsid w:val="00A4579D"/>
    <w:rsid w:val="00A45A3B"/>
    <w:rsid w:val="00A45C5B"/>
    <w:rsid w:val="00A45EFA"/>
    <w:rsid w:val="00A46F5A"/>
    <w:rsid w:val="00A46FAD"/>
    <w:rsid w:val="00A47B4B"/>
    <w:rsid w:val="00A5044D"/>
    <w:rsid w:val="00A509DE"/>
    <w:rsid w:val="00A50B00"/>
    <w:rsid w:val="00A50D49"/>
    <w:rsid w:val="00A511FB"/>
    <w:rsid w:val="00A51327"/>
    <w:rsid w:val="00A514EB"/>
    <w:rsid w:val="00A516EF"/>
    <w:rsid w:val="00A521E0"/>
    <w:rsid w:val="00A524C8"/>
    <w:rsid w:val="00A5291D"/>
    <w:rsid w:val="00A52ED6"/>
    <w:rsid w:val="00A52EDB"/>
    <w:rsid w:val="00A532E0"/>
    <w:rsid w:val="00A53533"/>
    <w:rsid w:val="00A54974"/>
    <w:rsid w:val="00A54A90"/>
    <w:rsid w:val="00A54B0B"/>
    <w:rsid w:val="00A54D16"/>
    <w:rsid w:val="00A54E6B"/>
    <w:rsid w:val="00A553DF"/>
    <w:rsid w:val="00A556AE"/>
    <w:rsid w:val="00A5579B"/>
    <w:rsid w:val="00A55877"/>
    <w:rsid w:val="00A55BB7"/>
    <w:rsid w:val="00A55E76"/>
    <w:rsid w:val="00A5637C"/>
    <w:rsid w:val="00A565DC"/>
    <w:rsid w:val="00A56735"/>
    <w:rsid w:val="00A56C2C"/>
    <w:rsid w:val="00A57311"/>
    <w:rsid w:val="00A57BD6"/>
    <w:rsid w:val="00A57EC0"/>
    <w:rsid w:val="00A57F96"/>
    <w:rsid w:val="00A602D0"/>
    <w:rsid w:val="00A60386"/>
    <w:rsid w:val="00A6065A"/>
    <w:rsid w:val="00A606AC"/>
    <w:rsid w:val="00A609BC"/>
    <w:rsid w:val="00A60B4F"/>
    <w:rsid w:val="00A60E0C"/>
    <w:rsid w:val="00A60E20"/>
    <w:rsid w:val="00A60EBB"/>
    <w:rsid w:val="00A6157E"/>
    <w:rsid w:val="00A615A0"/>
    <w:rsid w:val="00A615AF"/>
    <w:rsid w:val="00A61828"/>
    <w:rsid w:val="00A6189D"/>
    <w:rsid w:val="00A61F65"/>
    <w:rsid w:val="00A621F3"/>
    <w:rsid w:val="00A623EF"/>
    <w:rsid w:val="00A62454"/>
    <w:rsid w:val="00A627E0"/>
    <w:rsid w:val="00A62953"/>
    <w:rsid w:val="00A63244"/>
    <w:rsid w:val="00A6367F"/>
    <w:rsid w:val="00A63872"/>
    <w:rsid w:val="00A63A37"/>
    <w:rsid w:val="00A64196"/>
    <w:rsid w:val="00A647A9"/>
    <w:rsid w:val="00A649B4"/>
    <w:rsid w:val="00A64BC7"/>
    <w:rsid w:val="00A64EB1"/>
    <w:rsid w:val="00A65417"/>
    <w:rsid w:val="00A655C8"/>
    <w:rsid w:val="00A6563A"/>
    <w:rsid w:val="00A657CF"/>
    <w:rsid w:val="00A65C72"/>
    <w:rsid w:val="00A65FBF"/>
    <w:rsid w:val="00A6636E"/>
    <w:rsid w:val="00A66851"/>
    <w:rsid w:val="00A669D6"/>
    <w:rsid w:val="00A6743F"/>
    <w:rsid w:val="00A677C1"/>
    <w:rsid w:val="00A67A8E"/>
    <w:rsid w:val="00A67AC6"/>
    <w:rsid w:val="00A70A35"/>
    <w:rsid w:val="00A7141F"/>
    <w:rsid w:val="00A71D6B"/>
    <w:rsid w:val="00A71F00"/>
    <w:rsid w:val="00A726A3"/>
    <w:rsid w:val="00A726DE"/>
    <w:rsid w:val="00A729F5"/>
    <w:rsid w:val="00A73242"/>
    <w:rsid w:val="00A73873"/>
    <w:rsid w:val="00A739AB"/>
    <w:rsid w:val="00A73D4C"/>
    <w:rsid w:val="00A744A2"/>
    <w:rsid w:val="00A74598"/>
    <w:rsid w:val="00A745D9"/>
    <w:rsid w:val="00A74E04"/>
    <w:rsid w:val="00A74F6C"/>
    <w:rsid w:val="00A75212"/>
    <w:rsid w:val="00A7538B"/>
    <w:rsid w:val="00A75920"/>
    <w:rsid w:val="00A75DE7"/>
    <w:rsid w:val="00A76344"/>
    <w:rsid w:val="00A7634B"/>
    <w:rsid w:val="00A763FE"/>
    <w:rsid w:val="00A764B9"/>
    <w:rsid w:val="00A76696"/>
    <w:rsid w:val="00A76A52"/>
    <w:rsid w:val="00A76BF2"/>
    <w:rsid w:val="00A7707F"/>
    <w:rsid w:val="00A770A5"/>
    <w:rsid w:val="00A7735F"/>
    <w:rsid w:val="00A806D6"/>
    <w:rsid w:val="00A8135C"/>
    <w:rsid w:val="00A81633"/>
    <w:rsid w:val="00A81694"/>
    <w:rsid w:val="00A81D9B"/>
    <w:rsid w:val="00A8221B"/>
    <w:rsid w:val="00A82508"/>
    <w:rsid w:val="00A82C1E"/>
    <w:rsid w:val="00A831F0"/>
    <w:rsid w:val="00A83309"/>
    <w:rsid w:val="00A83BF1"/>
    <w:rsid w:val="00A83CA0"/>
    <w:rsid w:val="00A84298"/>
    <w:rsid w:val="00A844CE"/>
    <w:rsid w:val="00A84A75"/>
    <w:rsid w:val="00A84EBF"/>
    <w:rsid w:val="00A85237"/>
    <w:rsid w:val="00A8523D"/>
    <w:rsid w:val="00A85661"/>
    <w:rsid w:val="00A85F2C"/>
    <w:rsid w:val="00A85FFF"/>
    <w:rsid w:val="00A867E7"/>
    <w:rsid w:val="00A86F67"/>
    <w:rsid w:val="00A86FEF"/>
    <w:rsid w:val="00A8706A"/>
    <w:rsid w:val="00A87482"/>
    <w:rsid w:val="00A87771"/>
    <w:rsid w:val="00A87F4E"/>
    <w:rsid w:val="00A90134"/>
    <w:rsid w:val="00A901CB"/>
    <w:rsid w:val="00A905F1"/>
    <w:rsid w:val="00A90E27"/>
    <w:rsid w:val="00A91218"/>
    <w:rsid w:val="00A91469"/>
    <w:rsid w:val="00A9164F"/>
    <w:rsid w:val="00A91F3E"/>
    <w:rsid w:val="00A92457"/>
    <w:rsid w:val="00A92747"/>
    <w:rsid w:val="00A927EE"/>
    <w:rsid w:val="00A92B81"/>
    <w:rsid w:val="00A934FE"/>
    <w:rsid w:val="00A93800"/>
    <w:rsid w:val="00A938E5"/>
    <w:rsid w:val="00A93942"/>
    <w:rsid w:val="00A93BDA"/>
    <w:rsid w:val="00A93E34"/>
    <w:rsid w:val="00A93FAE"/>
    <w:rsid w:val="00A94A70"/>
    <w:rsid w:val="00A94BB8"/>
    <w:rsid w:val="00A9505F"/>
    <w:rsid w:val="00A9508C"/>
    <w:rsid w:val="00A9526D"/>
    <w:rsid w:val="00A95510"/>
    <w:rsid w:val="00A95A3E"/>
    <w:rsid w:val="00A96058"/>
    <w:rsid w:val="00A964EC"/>
    <w:rsid w:val="00A9692B"/>
    <w:rsid w:val="00A96CF6"/>
    <w:rsid w:val="00A96D7E"/>
    <w:rsid w:val="00A96F9C"/>
    <w:rsid w:val="00A9727C"/>
    <w:rsid w:val="00A97666"/>
    <w:rsid w:val="00A97B8A"/>
    <w:rsid w:val="00A97B8C"/>
    <w:rsid w:val="00A97DBD"/>
    <w:rsid w:val="00A97EF9"/>
    <w:rsid w:val="00AA0003"/>
    <w:rsid w:val="00AA0D9A"/>
    <w:rsid w:val="00AA1264"/>
    <w:rsid w:val="00AA158B"/>
    <w:rsid w:val="00AA1740"/>
    <w:rsid w:val="00AA1D12"/>
    <w:rsid w:val="00AA1EEC"/>
    <w:rsid w:val="00AA210C"/>
    <w:rsid w:val="00AA29F2"/>
    <w:rsid w:val="00AA2CD8"/>
    <w:rsid w:val="00AA30A2"/>
    <w:rsid w:val="00AA461D"/>
    <w:rsid w:val="00AA4C09"/>
    <w:rsid w:val="00AA4F41"/>
    <w:rsid w:val="00AA5584"/>
    <w:rsid w:val="00AA576F"/>
    <w:rsid w:val="00AA6026"/>
    <w:rsid w:val="00AA6206"/>
    <w:rsid w:val="00AA630A"/>
    <w:rsid w:val="00AA69EF"/>
    <w:rsid w:val="00AA6F21"/>
    <w:rsid w:val="00AA6F9A"/>
    <w:rsid w:val="00AA7819"/>
    <w:rsid w:val="00AA7C4F"/>
    <w:rsid w:val="00AB001C"/>
    <w:rsid w:val="00AB02C8"/>
    <w:rsid w:val="00AB05BC"/>
    <w:rsid w:val="00AB06B8"/>
    <w:rsid w:val="00AB06E6"/>
    <w:rsid w:val="00AB0ADE"/>
    <w:rsid w:val="00AB0B59"/>
    <w:rsid w:val="00AB0CA0"/>
    <w:rsid w:val="00AB102D"/>
    <w:rsid w:val="00AB1705"/>
    <w:rsid w:val="00AB1A33"/>
    <w:rsid w:val="00AB2857"/>
    <w:rsid w:val="00AB2EB7"/>
    <w:rsid w:val="00AB3299"/>
    <w:rsid w:val="00AB3418"/>
    <w:rsid w:val="00AB3491"/>
    <w:rsid w:val="00AB3865"/>
    <w:rsid w:val="00AB3E16"/>
    <w:rsid w:val="00AB3E3E"/>
    <w:rsid w:val="00AB3F13"/>
    <w:rsid w:val="00AB4157"/>
    <w:rsid w:val="00AB42FF"/>
    <w:rsid w:val="00AB4300"/>
    <w:rsid w:val="00AB476F"/>
    <w:rsid w:val="00AB4D67"/>
    <w:rsid w:val="00AB4EFB"/>
    <w:rsid w:val="00AB513E"/>
    <w:rsid w:val="00AB51DA"/>
    <w:rsid w:val="00AB53BA"/>
    <w:rsid w:val="00AB57AD"/>
    <w:rsid w:val="00AB583A"/>
    <w:rsid w:val="00AB5E39"/>
    <w:rsid w:val="00AB607B"/>
    <w:rsid w:val="00AB642C"/>
    <w:rsid w:val="00AB644A"/>
    <w:rsid w:val="00AB6458"/>
    <w:rsid w:val="00AB6CA0"/>
    <w:rsid w:val="00AB76D5"/>
    <w:rsid w:val="00AB7787"/>
    <w:rsid w:val="00AB78AC"/>
    <w:rsid w:val="00AB7913"/>
    <w:rsid w:val="00AB79A8"/>
    <w:rsid w:val="00AC0169"/>
    <w:rsid w:val="00AC0CC3"/>
    <w:rsid w:val="00AC1281"/>
    <w:rsid w:val="00AC1554"/>
    <w:rsid w:val="00AC21BA"/>
    <w:rsid w:val="00AC22C7"/>
    <w:rsid w:val="00AC281A"/>
    <w:rsid w:val="00AC2D4E"/>
    <w:rsid w:val="00AC3084"/>
    <w:rsid w:val="00AC3431"/>
    <w:rsid w:val="00AC38E9"/>
    <w:rsid w:val="00AC45D6"/>
    <w:rsid w:val="00AC4D1B"/>
    <w:rsid w:val="00AC4D53"/>
    <w:rsid w:val="00AC4D9E"/>
    <w:rsid w:val="00AC4E2E"/>
    <w:rsid w:val="00AC5C2A"/>
    <w:rsid w:val="00AC5F7E"/>
    <w:rsid w:val="00AC61B3"/>
    <w:rsid w:val="00AC63F4"/>
    <w:rsid w:val="00AC6786"/>
    <w:rsid w:val="00AC7470"/>
    <w:rsid w:val="00AC7DE9"/>
    <w:rsid w:val="00AD12BD"/>
    <w:rsid w:val="00AD163D"/>
    <w:rsid w:val="00AD1860"/>
    <w:rsid w:val="00AD1B21"/>
    <w:rsid w:val="00AD1DFE"/>
    <w:rsid w:val="00AD1F06"/>
    <w:rsid w:val="00AD23E9"/>
    <w:rsid w:val="00AD25AF"/>
    <w:rsid w:val="00AD284F"/>
    <w:rsid w:val="00AD288C"/>
    <w:rsid w:val="00AD2ACB"/>
    <w:rsid w:val="00AD2D96"/>
    <w:rsid w:val="00AD3042"/>
    <w:rsid w:val="00AD3047"/>
    <w:rsid w:val="00AD31A9"/>
    <w:rsid w:val="00AD32CD"/>
    <w:rsid w:val="00AD33C3"/>
    <w:rsid w:val="00AD34A1"/>
    <w:rsid w:val="00AD379F"/>
    <w:rsid w:val="00AD3935"/>
    <w:rsid w:val="00AD3BEC"/>
    <w:rsid w:val="00AD4597"/>
    <w:rsid w:val="00AD48F9"/>
    <w:rsid w:val="00AD4C34"/>
    <w:rsid w:val="00AD4C7E"/>
    <w:rsid w:val="00AD57E1"/>
    <w:rsid w:val="00AD6980"/>
    <w:rsid w:val="00AD69A7"/>
    <w:rsid w:val="00AD6C7F"/>
    <w:rsid w:val="00AD70C9"/>
    <w:rsid w:val="00AD732B"/>
    <w:rsid w:val="00AD75A6"/>
    <w:rsid w:val="00AD7927"/>
    <w:rsid w:val="00AD7E17"/>
    <w:rsid w:val="00AE0160"/>
    <w:rsid w:val="00AE0D23"/>
    <w:rsid w:val="00AE0E9E"/>
    <w:rsid w:val="00AE14B7"/>
    <w:rsid w:val="00AE19D1"/>
    <w:rsid w:val="00AE1E51"/>
    <w:rsid w:val="00AE2205"/>
    <w:rsid w:val="00AE232B"/>
    <w:rsid w:val="00AE26F5"/>
    <w:rsid w:val="00AE2968"/>
    <w:rsid w:val="00AE2ECC"/>
    <w:rsid w:val="00AE3004"/>
    <w:rsid w:val="00AE3627"/>
    <w:rsid w:val="00AE3839"/>
    <w:rsid w:val="00AE3AF4"/>
    <w:rsid w:val="00AE425D"/>
    <w:rsid w:val="00AE42D1"/>
    <w:rsid w:val="00AE4309"/>
    <w:rsid w:val="00AE4557"/>
    <w:rsid w:val="00AE4A1F"/>
    <w:rsid w:val="00AE4C55"/>
    <w:rsid w:val="00AE4F01"/>
    <w:rsid w:val="00AE5C22"/>
    <w:rsid w:val="00AE5E95"/>
    <w:rsid w:val="00AE6433"/>
    <w:rsid w:val="00AE6584"/>
    <w:rsid w:val="00AE6740"/>
    <w:rsid w:val="00AE69BD"/>
    <w:rsid w:val="00AE6D12"/>
    <w:rsid w:val="00AE723D"/>
    <w:rsid w:val="00AE7751"/>
    <w:rsid w:val="00AE77DE"/>
    <w:rsid w:val="00AE780C"/>
    <w:rsid w:val="00AE7992"/>
    <w:rsid w:val="00AE7BBF"/>
    <w:rsid w:val="00AF0FFE"/>
    <w:rsid w:val="00AF1414"/>
    <w:rsid w:val="00AF14DF"/>
    <w:rsid w:val="00AF15C3"/>
    <w:rsid w:val="00AF19CD"/>
    <w:rsid w:val="00AF25F3"/>
    <w:rsid w:val="00AF28B0"/>
    <w:rsid w:val="00AF2DED"/>
    <w:rsid w:val="00AF3560"/>
    <w:rsid w:val="00AF3C80"/>
    <w:rsid w:val="00AF3C8C"/>
    <w:rsid w:val="00AF3DE1"/>
    <w:rsid w:val="00AF4095"/>
    <w:rsid w:val="00AF41FC"/>
    <w:rsid w:val="00AF4447"/>
    <w:rsid w:val="00AF457C"/>
    <w:rsid w:val="00AF4ABD"/>
    <w:rsid w:val="00AF5363"/>
    <w:rsid w:val="00AF5673"/>
    <w:rsid w:val="00AF579C"/>
    <w:rsid w:val="00AF5F78"/>
    <w:rsid w:val="00AF63A9"/>
    <w:rsid w:val="00AF6591"/>
    <w:rsid w:val="00AF66F1"/>
    <w:rsid w:val="00AF6A76"/>
    <w:rsid w:val="00AF6B1B"/>
    <w:rsid w:val="00AF7363"/>
    <w:rsid w:val="00AF738A"/>
    <w:rsid w:val="00AF7E8D"/>
    <w:rsid w:val="00AF7F09"/>
    <w:rsid w:val="00AF7F0E"/>
    <w:rsid w:val="00B0015C"/>
    <w:rsid w:val="00B002BA"/>
    <w:rsid w:val="00B00306"/>
    <w:rsid w:val="00B00521"/>
    <w:rsid w:val="00B00D62"/>
    <w:rsid w:val="00B010D3"/>
    <w:rsid w:val="00B01CC2"/>
    <w:rsid w:val="00B01F0D"/>
    <w:rsid w:val="00B02014"/>
    <w:rsid w:val="00B0226D"/>
    <w:rsid w:val="00B023FC"/>
    <w:rsid w:val="00B02A4C"/>
    <w:rsid w:val="00B02AD0"/>
    <w:rsid w:val="00B03101"/>
    <w:rsid w:val="00B039CE"/>
    <w:rsid w:val="00B03BB8"/>
    <w:rsid w:val="00B03D26"/>
    <w:rsid w:val="00B04AD7"/>
    <w:rsid w:val="00B04D36"/>
    <w:rsid w:val="00B04F11"/>
    <w:rsid w:val="00B0540A"/>
    <w:rsid w:val="00B0550D"/>
    <w:rsid w:val="00B05688"/>
    <w:rsid w:val="00B0588E"/>
    <w:rsid w:val="00B06771"/>
    <w:rsid w:val="00B06C77"/>
    <w:rsid w:val="00B07390"/>
    <w:rsid w:val="00B075EC"/>
    <w:rsid w:val="00B076A7"/>
    <w:rsid w:val="00B076C4"/>
    <w:rsid w:val="00B07CBE"/>
    <w:rsid w:val="00B108ED"/>
    <w:rsid w:val="00B10931"/>
    <w:rsid w:val="00B1093D"/>
    <w:rsid w:val="00B10BE8"/>
    <w:rsid w:val="00B10DF3"/>
    <w:rsid w:val="00B1167A"/>
    <w:rsid w:val="00B11882"/>
    <w:rsid w:val="00B11E29"/>
    <w:rsid w:val="00B12603"/>
    <w:rsid w:val="00B12A8C"/>
    <w:rsid w:val="00B13003"/>
    <w:rsid w:val="00B13123"/>
    <w:rsid w:val="00B137BE"/>
    <w:rsid w:val="00B13829"/>
    <w:rsid w:val="00B13F1F"/>
    <w:rsid w:val="00B14251"/>
    <w:rsid w:val="00B147CC"/>
    <w:rsid w:val="00B150FE"/>
    <w:rsid w:val="00B15141"/>
    <w:rsid w:val="00B151C6"/>
    <w:rsid w:val="00B15916"/>
    <w:rsid w:val="00B16815"/>
    <w:rsid w:val="00B16B5F"/>
    <w:rsid w:val="00B16D08"/>
    <w:rsid w:val="00B1736C"/>
    <w:rsid w:val="00B17744"/>
    <w:rsid w:val="00B17D3E"/>
    <w:rsid w:val="00B20057"/>
    <w:rsid w:val="00B2043A"/>
    <w:rsid w:val="00B2063B"/>
    <w:rsid w:val="00B20CD7"/>
    <w:rsid w:val="00B20E2B"/>
    <w:rsid w:val="00B20F3D"/>
    <w:rsid w:val="00B21016"/>
    <w:rsid w:val="00B215F9"/>
    <w:rsid w:val="00B217CD"/>
    <w:rsid w:val="00B21B67"/>
    <w:rsid w:val="00B21CA7"/>
    <w:rsid w:val="00B22472"/>
    <w:rsid w:val="00B232CB"/>
    <w:rsid w:val="00B233A9"/>
    <w:rsid w:val="00B239CC"/>
    <w:rsid w:val="00B23C57"/>
    <w:rsid w:val="00B23E2E"/>
    <w:rsid w:val="00B24F49"/>
    <w:rsid w:val="00B25585"/>
    <w:rsid w:val="00B2571D"/>
    <w:rsid w:val="00B2588A"/>
    <w:rsid w:val="00B25A0E"/>
    <w:rsid w:val="00B25A70"/>
    <w:rsid w:val="00B25AB2"/>
    <w:rsid w:val="00B25BD8"/>
    <w:rsid w:val="00B25E1D"/>
    <w:rsid w:val="00B25F9A"/>
    <w:rsid w:val="00B2613A"/>
    <w:rsid w:val="00B263BE"/>
    <w:rsid w:val="00B269CE"/>
    <w:rsid w:val="00B271E3"/>
    <w:rsid w:val="00B2757B"/>
    <w:rsid w:val="00B27D54"/>
    <w:rsid w:val="00B3057A"/>
    <w:rsid w:val="00B308C7"/>
    <w:rsid w:val="00B317EB"/>
    <w:rsid w:val="00B318CB"/>
    <w:rsid w:val="00B31C72"/>
    <w:rsid w:val="00B31E5F"/>
    <w:rsid w:val="00B322A7"/>
    <w:rsid w:val="00B32507"/>
    <w:rsid w:val="00B32607"/>
    <w:rsid w:val="00B326BE"/>
    <w:rsid w:val="00B32F7F"/>
    <w:rsid w:val="00B33126"/>
    <w:rsid w:val="00B338CE"/>
    <w:rsid w:val="00B3396B"/>
    <w:rsid w:val="00B33F7C"/>
    <w:rsid w:val="00B34390"/>
    <w:rsid w:val="00B3442C"/>
    <w:rsid w:val="00B3539A"/>
    <w:rsid w:val="00B353D3"/>
    <w:rsid w:val="00B35CB3"/>
    <w:rsid w:val="00B35F8E"/>
    <w:rsid w:val="00B363C8"/>
    <w:rsid w:val="00B36906"/>
    <w:rsid w:val="00B37188"/>
    <w:rsid w:val="00B4003E"/>
    <w:rsid w:val="00B40292"/>
    <w:rsid w:val="00B406B2"/>
    <w:rsid w:val="00B40D73"/>
    <w:rsid w:val="00B4110D"/>
    <w:rsid w:val="00B411A3"/>
    <w:rsid w:val="00B412CB"/>
    <w:rsid w:val="00B416D8"/>
    <w:rsid w:val="00B41B34"/>
    <w:rsid w:val="00B41BEE"/>
    <w:rsid w:val="00B42879"/>
    <w:rsid w:val="00B430D3"/>
    <w:rsid w:val="00B437BD"/>
    <w:rsid w:val="00B43985"/>
    <w:rsid w:val="00B439FA"/>
    <w:rsid w:val="00B43D4D"/>
    <w:rsid w:val="00B440CF"/>
    <w:rsid w:val="00B4418B"/>
    <w:rsid w:val="00B443C5"/>
    <w:rsid w:val="00B4485B"/>
    <w:rsid w:val="00B453AD"/>
    <w:rsid w:val="00B45A61"/>
    <w:rsid w:val="00B45AC0"/>
    <w:rsid w:val="00B46501"/>
    <w:rsid w:val="00B47389"/>
    <w:rsid w:val="00B47784"/>
    <w:rsid w:val="00B4783F"/>
    <w:rsid w:val="00B47858"/>
    <w:rsid w:val="00B47CEF"/>
    <w:rsid w:val="00B50261"/>
    <w:rsid w:val="00B504F7"/>
    <w:rsid w:val="00B50810"/>
    <w:rsid w:val="00B50933"/>
    <w:rsid w:val="00B509C0"/>
    <w:rsid w:val="00B50E09"/>
    <w:rsid w:val="00B50FD1"/>
    <w:rsid w:val="00B51420"/>
    <w:rsid w:val="00B51526"/>
    <w:rsid w:val="00B5171B"/>
    <w:rsid w:val="00B517F1"/>
    <w:rsid w:val="00B51A40"/>
    <w:rsid w:val="00B5238F"/>
    <w:rsid w:val="00B529F2"/>
    <w:rsid w:val="00B52EC8"/>
    <w:rsid w:val="00B53414"/>
    <w:rsid w:val="00B5370C"/>
    <w:rsid w:val="00B538FF"/>
    <w:rsid w:val="00B53EF5"/>
    <w:rsid w:val="00B54126"/>
    <w:rsid w:val="00B542BA"/>
    <w:rsid w:val="00B54989"/>
    <w:rsid w:val="00B54CC5"/>
    <w:rsid w:val="00B553CF"/>
    <w:rsid w:val="00B555B8"/>
    <w:rsid w:val="00B55ACA"/>
    <w:rsid w:val="00B561BD"/>
    <w:rsid w:val="00B566E0"/>
    <w:rsid w:val="00B5685D"/>
    <w:rsid w:val="00B56E91"/>
    <w:rsid w:val="00B56F22"/>
    <w:rsid w:val="00B574BA"/>
    <w:rsid w:val="00B57861"/>
    <w:rsid w:val="00B60407"/>
    <w:rsid w:val="00B6059C"/>
    <w:rsid w:val="00B609AE"/>
    <w:rsid w:val="00B609F0"/>
    <w:rsid w:val="00B60E6E"/>
    <w:rsid w:val="00B6112D"/>
    <w:rsid w:val="00B6156C"/>
    <w:rsid w:val="00B619AF"/>
    <w:rsid w:val="00B61B85"/>
    <w:rsid w:val="00B61CFF"/>
    <w:rsid w:val="00B61F08"/>
    <w:rsid w:val="00B61F70"/>
    <w:rsid w:val="00B6237B"/>
    <w:rsid w:val="00B62894"/>
    <w:rsid w:val="00B62A18"/>
    <w:rsid w:val="00B62F1E"/>
    <w:rsid w:val="00B63870"/>
    <w:rsid w:val="00B640AB"/>
    <w:rsid w:val="00B64124"/>
    <w:rsid w:val="00B64398"/>
    <w:rsid w:val="00B64484"/>
    <w:rsid w:val="00B645F8"/>
    <w:rsid w:val="00B64A44"/>
    <w:rsid w:val="00B64F38"/>
    <w:rsid w:val="00B652B0"/>
    <w:rsid w:val="00B65771"/>
    <w:rsid w:val="00B664EC"/>
    <w:rsid w:val="00B66801"/>
    <w:rsid w:val="00B668B4"/>
    <w:rsid w:val="00B66FFC"/>
    <w:rsid w:val="00B6796C"/>
    <w:rsid w:val="00B67B2B"/>
    <w:rsid w:val="00B7001D"/>
    <w:rsid w:val="00B7021B"/>
    <w:rsid w:val="00B70333"/>
    <w:rsid w:val="00B70A49"/>
    <w:rsid w:val="00B70EDB"/>
    <w:rsid w:val="00B71A5D"/>
    <w:rsid w:val="00B7273B"/>
    <w:rsid w:val="00B727B8"/>
    <w:rsid w:val="00B7325A"/>
    <w:rsid w:val="00B73453"/>
    <w:rsid w:val="00B737C7"/>
    <w:rsid w:val="00B73E00"/>
    <w:rsid w:val="00B73E31"/>
    <w:rsid w:val="00B7460C"/>
    <w:rsid w:val="00B74A0D"/>
    <w:rsid w:val="00B74EC0"/>
    <w:rsid w:val="00B75542"/>
    <w:rsid w:val="00B75667"/>
    <w:rsid w:val="00B75A5C"/>
    <w:rsid w:val="00B75D18"/>
    <w:rsid w:val="00B76016"/>
    <w:rsid w:val="00B7646F"/>
    <w:rsid w:val="00B77062"/>
    <w:rsid w:val="00B7709F"/>
    <w:rsid w:val="00B770A1"/>
    <w:rsid w:val="00B77104"/>
    <w:rsid w:val="00B774CC"/>
    <w:rsid w:val="00B77B57"/>
    <w:rsid w:val="00B77D8A"/>
    <w:rsid w:val="00B8053A"/>
    <w:rsid w:val="00B80795"/>
    <w:rsid w:val="00B80F5B"/>
    <w:rsid w:val="00B81578"/>
    <w:rsid w:val="00B81684"/>
    <w:rsid w:val="00B817F4"/>
    <w:rsid w:val="00B820AE"/>
    <w:rsid w:val="00B821AB"/>
    <w:rsid w:val="00B82515"/>
    <w:rsid w:val="00B82A0E"/>
    <w:rsid w:val="00B82A8C"/>
    <w:rsid w:val="00B830F7"/>
    <w:rsid w:val="00B8321E"/>
    <w:rsid w:val="00B837F5"/>
    <w:rsid w:val="00B83AC3"/>
    <w:rsid w:val="00B83DAC"/>
    <w:rsid w:val="00B83DF6"/>
    <w:rsid w:val="00B84BE8"/>
    <w:rsid w:val="00B855A8"/>
    <w:rsid w:val="00B85837"/>
    <w:rsid w:val="00B85F67"/>
    <w:rsid w:val="00B86557"/>
    <w:rsid w:val="00B86D87"/>
    <w:rsid w:val="00B87AF3"/>
    <w:rsid w:val="00B87C60"/>
    <w:rsid w:val="00B90165"/>
    <w:rsid w:val="00B911E8"/>
    <w:rsid w:val="00B91356"/>
    <w:rsid w:val="00B91E9D"/>
    <w:rsid w:val="00B922C4"/>
    <w:rsid w:val="00B926E0"/>
    <w:rsid w:val="00B92AD4"/>
    <w:rsid w:val="00B92BF1"/>
    <w:rsid w:val="00B932E1"/>
    <w:rsid w:val="00B93C36"/>
    <w:rsid w:val="00B94054"/>
    <w:rsid w:val="00B94253"/>
    <w:rsid w:val="00B9436E"/>
    <w:rsid w:val="00B946E7"/>
    <w:rsid w:val="00B950E8"/>
    <w:rsid w:val="00B95372"/>
    <w:rsid w:val="00B953FF"/>
    <w:rsid w:val="00B954FC"/>
    <w:rsid w:val="00B95A04"/>
    <w:rsid w:val="00B95C49"/>
    <w:rsid w:val="00B95EEF"/>
    <w:rsid w:val="00B95FD7"/>
    <w:rsid w:val="00B96228"/>
    <w:rsid w:val="00B96313"/>
    <w:rsid w:val="00B96CF0"/>
    <w:rsid w:val="00B96DA2"/>
    <w:rsid w:val="00B977E6"/>
    <w:rsid w:val="00BA067F"/>
    <w:rsid w:val="00BA13E0"/>
    <w:rsid w:val="00BA1731"/>
    <w:rsid w:val="00BA17C4"/>
    <w:rsid w:val="00BA270E"/>
    <w:rsid w:val="00BA2729"/>
    <w:rsid w:val="00BA283C"/>
    <w:rsid w:val="00BA2AEB"/>
    <w:rsid w:val="00BA2B41"/>
    <w:rsid w:val="00BA2FA6"/>
    <w:rsid w:val="00BA3603"/>
    <w:rsid w:val="00BA388C"/>
    <w:rsid w:val="00BA3974"/>
    <w:rsid w:val="00BA3C13"/>
    <w:rsid w:val="00BA3CC9"/>
    <w:rsid w:val="00BA3D2F"/>
    <w:rsid w:val="00BA3F29"/>
    <w:rsid w:val="00BA40BE"/>
    <w:rsid w:val="00BA48E0"/>
    <w:rsid w:val="00BA4CF4"/>
    <w:rsid w:val="00BA54FB"/>
    <w:rsid w:val="00BA5C97"/>
    <w:rsid w:val="00BA5EFB"/>
    <w:rsid w:val="00BA6230"/>
    <w:rsid w:val="00BA659A"/>
    <w:rsid w:val="00BA68C1"/>
    <w:rsid w:val="00BA6D50"/>
    <w:rsid w:val="00BA712E"/>
    <w:rsid w:val="00BA7423"/>
    <w:rsid w:val="00BA7688"/>
    <w:rsid w:val="00BA7EB0"/>
    <w:rsid w:val="00BB008F"/>
    <w:rsid w:val="00BB0528"/>
    <w:rsid w:val="00BB070E"/>
    <w:rsid w:val="00BB0D75"/>
    <w:rsid w:val="00BB1286"/>
    <w:rsid w:val="00BB1C4F"/>
    <w:rsid w:val="00BB20E7"/>
    <w:rsid w:val="00BB225D"/>
    <w:rsid w:val="00BB277B"/>
    <w:rsid w:val="00BB2835"/>
    <w:rsid w:val="00BB365A"/>
    <w:rsid w:val="00BB37B0"/>
    <w:rsid w:val="00BB3A61"/>
    <w:rsid w:val="00BB3D91"/>
    <w:rsid w:val="00BB3F4C"/>
    <w:rsid w:val="00BB4A42"/>
    <w:rsid w:val="00BB5075"/>
    <w:rsid w:val="00BB5321"/>
    <w:rsid w:val="00BB55C2"/>
    <w:rsid w:val="00BB56F2"/>
    <w:rsid w:val="00BB57E0"/>
    <w:rsid w:val="00BB5846"/>
    <w:rsid w:val="00BB61DC"/>
    <w:rsid w:val="00BB6258"/>
    <w:rsid w:val="00BB6431"/>
    <w:rsid w:val="00BB645D"/>
    <w:rsid w:val="00BB6472"/>
    <w:rsid w:val="00BB71EC"/>
    <w:rsid w:val="00BB724B"/>
    <w:rsid w:val="00BB740F"/>
    <w:rsid w:val="00BB7DB1"/>
    <w:rsid w:val="00BC0AE6"/>
    <w:rsid w:val="00BC1293"/>
    <w:rsid w:val="00BC16BF"/>
    <w:rsid w:val="00BC1B4B"/>
    <w:rsid w:val="00BC201A"/>
    <w:rsid w:val="00BC2BC7"/>
    <w:rsid w:val="00BC2F45"/>
    <w:rsid w:val="00BC344E"/>
    <w:rsid w:val="00BC38B8"/>
    <w:rsid w:val="00BC3CF8"/>
    <w:rsid w:val="00BC4B9C"/>
    <w:rsid w:val="00BC4D50"/>
    <w:rsid w:val="00BC5181"/>
    <w:rsid w:val="00BC56C1"/>
    <w:rsid w:val="00BC5CE2"/>
    <w:rsid w:val="00BC642E"/>
    <w:rsid w:val="00BC6742"/>
    <w:rsid w:val="00BC6C82"/>
    <w:rsid w:val="00BC71C5"/>
    <w:rsid w:val="00BC7659"/>
    <w:rsid w:val="00BC791C"/>
    <w:rsid w:val="00BC7A42"/>
    <w:rsid w:val="00BC7E6E"/>
    <w:rsid w:val="00BD013E"/>
    <w:rsid w:val="00BD0263"/>
    <w:rsid w:val="00BD0383"/>
    <w:rsid w:val="00BD082C"/>
    <w:rsid w:val="00BD0FC4"/>
    <w:rsid w:val="00BD1122"/>
    <w:rsid w:val="00BD13ED"/>
    <w:rsid w:val="00BD140B"/>
    <w:rsid w:val="00BD171F"/>
    <w:rsid w:val="00BD1749"/>
    <w:rsid w:val="00BD2161"/>
    <w:rsid w:val="00BD238C"/>
    <w:rsid w:val="00BD2A08"/>
    <w:rsid w:val="00BD2F55"/>
    <w:rsid w:val="00BD3837"/>
    <w:rsid w:val="00BD385B"/>
    <w:rsid w:val="00BD386B"/>
    <w:rsid w:val="00BD3C69"/>
    <w:rsid w:val="00BD3D7A"/>
    <w:rsid w:val="00BD4355"/>
    <w:rsid w:val="00BD4A64"/>
    <w:rsid w:val="00BD5A26"/>
    <w:rsid w:val="00BD5A74"/>
    <w:rsid w:val="00BD5D4D"/>
    <w:rsid w:val="00BD614C"/>
    <w:rsid w:val="00BD6509"/>
    <w:rsid w:val="00BD689C"/>
    <w:rsid w:val="00BD6909"/>
    <w:rsid w:val="00BD6A22"/>
    <w:rsid w:val="00BD78B8"/>
    <w:rsid w:val="00BD7A82"/>
    <w:rsid w:val="00BD7F9E"/>
    <w:rsid w:val="00BE072F"/>
    <w:rsid w:val="00BE0C3B"/>
    <w:rsid w:val="00BE0DCA"/>
    <w:rsid w:val="00BE13B8"/>
    <w:rsid w:val="00BE16CB"/>
    <w:rsid w:val="00BE197A"/>
    <w:rsid w:val="00BE1A06"/>
    <w:rsid w:val="00BE1F8E"/>
    <w:rsid w:val="00BE2E99"/>
    <w:rsid w:val="00BE3AFA"/>
    <w:rsid w:val="00BE3F52"/>
    <w:rsid w:val="00BE403F"/>
    <w:rsid w:val="00BE45C1"/>
    <w:rsid w:val="00BE51C7"/>
    <w:rsid w:val="00BE5515"/>
    <w:rsid w:val="00BE5613"/>
    <w:rsid w:val="00BE5813"/>
    <w:rsid w:val="00BE5C7E"/>
    <w:rsid w:val="00BE6038"/>
    <w:rsid w:val="00BE65B3"/>
    <w:rsid w:val="00BE68B9"/>
    <w:rsid w:val="00BE7265"/>
    <w:rsid w:val="00BE7B27"/>
    <w:rsid w:val="00BF02E6"/>
    <w:rsid w:val="00BF04B1"/>
    <w:rsid w:val="00BF0963"/>
    <w:rsid w:val="00BF0A66"/>
    <w:rsid w:val="00BF0CB3"/>
    <w:rsid w:val="00BF10D2"/>
    <w:rsid w:val="00BF10D6"/>
    <w:rsid w:val="00BF120B"/>
    <w:rsid w:val="00BF1309"/>
    <w:rsid w:val="00BF18B9"/>
    <w:rsid w:val="00BF1B70"/>
    <w:rsid w:val="00BF220D"/>
    <w:rsid w:val="00BF2817"/>
    <w:rsid w:val="00BF2C65"/>
    <w:rsid w:val="00BF31CB"/>
    <w:rsid w:val="00BF3485"/>
    <w:rsid w:val="00BF3AE6"/>
    <w:rsid w:val="00BF3C10"/>
    <w:rsid w:val="00BF46F1"/>
    <w:rsid w:val="00BF4923"/>
    <w:rsid w:val="00BF4B69"/>
    <w:rsid w:val="00BF5350"/>
    <w:rsid w:val="00BF55D0"/>
    <w:rsid w:val="00BF5623"/>
    <w:rsid w:val="00BF56A8"/>
    <w:rsid w:val="00BF57C6"/>
    <w:rsid w:val="00BF60E3"/>
    <w:rsid w:val="00BF6597"/>
    <w:rsid w:val="00BF6FBF"/>
    <w:rsid w:val="00BF70A1"/>
    <w:rsid w:val="00BF70F8"/>
    <w:rsid w:val="00BF7CDD"/>
    <w:rsid w:val="00BF7D43"/>
    <w:rsid w:val="00C007CA"/>
    <w:rsid w:val="00C00BC2"/>
    <w:rsid w:val="00C00F1A"/>
    <w:rsid w:val="00C010F5"/>
    <w:rsid w:val="00C01835"/>
    <w:rsid w:val="00C01DFD"/>
    <w:rsid w:val="00C02192"/>
    <w:rsid w:val="00C02517"/>
    <w:rsid w:val="00C0279C"/>
    <w:rsid w:val="00C02C95"/>
    <w:rsid w:val="00C02CDE"/>
    <w:rsid w:val="00C03B7B"/>
    <w:rsid w:val="00C03C30"/>
    <w:rsid w:val="00C04339"/>
    <w:rsid w:val="00C0471C"/>
    <w:rsid w:val="00C04C6C"/>
    <w:rsid w:val="00C04DE2"/>
    <w:rsid w:val="00C05395"/>
    <w:rsid w:val="00C057E0"/>
    <w:rsid w:val="00C05863"/>
    <w:rsid w:val="00C05C20"/>
    <w:rsid w:val="00C05D67"/>
    <w:rsid w:val="00C05F3E"/>
    <w:rsid w:val="00C06031"/>
    <w:rsid w:val="00C06066"/>
    <w:rsid w:val="00C0648A"/>
    <w:rsid w:val="00C067A4"/>
    <w:rsid w:val="00C06E36"/>
    <w:rsid w:val="00C06F8C"/>
    <w:rsid w:val="00C0734B"/>
    <w:rsid w:val="00C07A6C"/>
    <w:rsid w:val="00C07A84"/>
    <w:rsid w:val="00C07AE3"/>
    <w:rsid w:val="00C07AE4"/>
    <w:rsid w:val="00C07C5C"/>
    <w:rsid w:val="00C10599"/>
    <w:rsid w:val="00C10F46"/>
    <w:rsid w:val="00C1114F"/>
    <w:rsid w:val="00C11183"/>
    <w:rsid w:val="00C11197"/>
    <w:rsid w:val="00C1157C"/>
    <w:rsid w:val="00C11C33"/>
    <w:rsid w:val="00C11C73"/>
    <w:rsid w:val="00C11FE5"/>
    <w:rsid w:val="00C11FF6"/>
    <w:rsid w:val="00C12068"/>
    <w:rsid w:val="00C1283A"/>
    <w:rsid w:val="00C12EB5"/>
    <w:rsid w:val="00C1328A"/>
    <w:rsid w:val="00C13504"/>
    <w:rsid w:val="00C13C8A"/>
    <w:rsid w:val="00C13F22"/>
    <w:rsid w:val="00C140FE"/>
    <w:rsid w:val="00C14346"/>
    <w:rsid w:val="00C14691"/>
    <w:rsid w:val="00C1473E"/>
    <w:rsid w:val="00C14EF8"/>
    <w:rsid w:val="00C15135"/>
    <w:rsid w:val="00C159ED"/>
    <w:rsid w:val="00C15D8C"/>
    <w:rsid w:val="00C16386"/>
    <w:rsid w:val="00C165C6"/>
    <w:rsid w:val="00C1662C"/>
    <w:rsid w:val="00C16813"/>
    <w:rsid w:val="00C16B16"/>
    <w:rsid w:val="00C17099"/>
    <w:rsid w:val="00C170AE"/>
    <w:rsid w:val="00C173EB"/>
    <w:rsid w:val="00C17593"/>
    <w:rsid w:val="00C176B6"/>
    <w:rsid w:val="00C17D7E"/>
    <w:rsid w:val="00C17D89"/>
    <w:rsid w:val="00C17F9B"/>
    <w:rsid w:val="00C202D5"/>
    <w:rsid w:val="00C2068D"/>
    <w:rsid w:val="00C206C4"/>
    <w:rsid w:val="00C206EC"/>
    <w:rsid w:val="00C207CE"/>
    <w:rsid w:val="00C20A2D"/>
    <w:rsid w:val="00C20DD5"/>
    <w:rsid w:val="00C20F2A"/>
    <w:rsid w:val="00C226CE"/>
    <w:rsid w:val="00C227E3"/>
    <w:rsid w:val="00C232DD"/>
    <w:rsid w:val="00C23452"/>
    <w:rsid w:val="00C2423A"/>
    <w:rsid w:val="00C244D8"/>
    <w:rsid w:val="00C24789"/>
    <w:rsid w:val="00C24EE5"/>
    <w:rsid w:val="00C250CF"/>
    <w:rsid w:val="00C2544D"/>
    <w:rsid w:val="00C26871"/>
    <w:rsid w:val="00C2695A"/>
    <w:rsid w:val="00C26EB2"/>
    <w:rsid w:val="00C27156"/>
    <w:rsid w:val="00C274BE"/>
    <w:rsid w:val="00C275D9"/>
    <w:rsid w:val="00C2769D"/>
    <w:rsid w:val="00C27CD4"/>
    <w:rsid w:val="00C27E49"/>
    <w:rsid w:val="00C307FA"/>
    <w:rsid w:val="00C30C4B"/>
    <w:rsid w:val="00C30D3F"/>
    <w:rsid w:val="00C30DAA"/>
    <w:rsid w:val="00C30F1F"/>
    <w:rsid w:val="00C30FB5"/>
    <w:rsid w:val="00C31089"/>
    <w:rsid w:val="00C314DF"/>
    <w:rsid w:val="00C315D4"/>
    <w:rsid w:val="00C3160D"/>
    <w:rsid w:val="00C3175A"/>
    <w:rsid w:val="00C319A2"/>
    <w:rsid w:val="00C3208A"/>
    <w:rsid w:val="00C3260A"/>
    <w:rsid w:val="00C32BB7"/>
    <w:rsid w:val="00C32CCE"/>
    <w:rsid w:val="00C33560"/>
    <w:rsid w:val="00C337EC"/>
    <w:rsid w:val="00C339DE"/>
    <w:rsid w:val="00C33AA7"/>
    <w:rsid w:val="00C33DCE"/>
    <w:rsid w:val="00C3463A"/>
    <w:rsid w:val="00C346BB"/>
    <w:rsid w:val="00C346C1"/>
    <w:rsid w:val="00C34BDB"/>
    <w:rsid w:val="00C34C05"/>
    <w:rsid w:val="00C34D4B"/>
    <w:rsid w:val="00C34F16"/>
    <w:rsid w:val="00C351D2"/>
    <w:rsid w:val="00C3566B"/>
    <w:rsid w:val="00C35B23"/>
    <w:rsid w:val="00C36050"/>
    <w:rsid w:val="00C361B0"/>
    <w:rsid w:val="00C367B9"/>
    <w:rsid w:val="00C36DAD"/>
    <w:rsid w:val="00C37050"/>
    <w:rsid w:val="00C37CA6"/>
    <w:rsid w:val="00C37F8D"/>
    <w:rsid w:val="00C4018E"/>
    <w:rsid w:val="00C404D5"/>
    <w:rsid w:val="00C40B7D"/>
    <w:rsid w:val="00C40CD4"/>
    <w:rsid w:val="00C41057"/>
    <w:rsid w:val="00C411E2"/>
    <w:rsid w:val="00C41E8D"/>
    <w:rsid w:val="00C42130"/>
    <w:rsid w:val="00C42784"/>
    <w:rsid w:val="00C429E1"/>
    <w:rsid w:val="00C4301B"/>
    <w:rsid w:val="00C439F0"/>
    <w:rsid w:val="00C43CE7"/>
    <w:rsid w:val="00C44189"/>
    <w:rsid w:val="00C447FB"/>
    <w:rsid w:val="00C44F96"/>
    <w:rsid w:val="00C44FF2"/>
    <w:rsid w:val="00C4587D"/>
    <w:rsid w:val="00C45C66"/>
    <w:rsid w:val="00C464A1"/>
    <w:rsid w:val="00C470AA"/>
    <w:rsid w:val="00C476E4"/>
    <w:rsid w:val="00C47AE8"/>
    <w:rsid w:val="00C47B93"/>
    <w:rsid w:val="00C47BDE"/>
    <w:rsid w:val="00C47EC4"/>
    <w:rsid w:val="00C508B7"/>
    <w:rsid w:val="00C509D3"/>
    <w:rsid w:val="00C51696"/>
    <w:rsid w:val="00C5193F"/>
    <w:rsid w:val="00C51A6A"/>
    <w:rsid w:val="00C51D11"/>
    <w:rsid w:val="00C51D30"/>
    <w:rsid w:val="00C51F21"/>
    <w:rsid w:val="00C521CD"/>
    <w:rsid w:val="00C5257E"/>
    <w:rsid w:val="00C52DD4"/>
    <w:rsid w:val="00C531B4"/>
    <w:rsid w:val="00C532F9"/>
    <w:rsid w:val="00C53E22"/>
    <w:rsid w:val="00C54C14"/>
    <w:rsid w:val="00C54C62"/>
    <w:rsid w:val="00C54CBD"/>
    <w:rsid w:val="00C54CDD"/>
    <w:rsid w:val="00C5589B"/>
    <w:rsid w:val="00C55A58"/>
    <w:rsid w:val="00C55E23"/>
    <w:rsid w:val="00C5638E"/>
    <w:rsid w:val="00C56918"/>
    <w:rsid w:val="00C569CA"/>
    <w:rsid w:val="00C56F7A"/>
    <w:rsid w:val="00C5733A"/>
    <w:rsid w:val="00C57CC6"/>
    <w:rsid w:val="00C57D43"/>
    <w:rsid w:val="00C601EB"/>
    <w:rsid w:val="00C602DB"/>
    <w:rsid w:val="00C60708"/>
    <w:rsid w:val="00C60EC1"/>
    <w:rsid w:val="00C613E1"/>
    <w:rsid w:val="00C619CD"/>
    <w:rsid w:val="00C61B5A"/>
    <w:rsid w:val="00C61D30"/>
    <w:rsid w:val="00C61EE5"/>
    <w:rsid w:val="00C62027"/>
    <w:rsid w:val="00C62997"/>
    <w:rsid w:val="00C62B6E"/>
    <w:rsid w:val="00C63152"/>
    <w:rsid w:val="00C633AB"/>
    <w:rsid w:val="00C6343A"/>
    <w:rsid w:val="00C636B0"/>
    <w:rsid w:val="00C64849"/>
    <w:rsid w:val="00C6560B"/>
    <w:rsid w:val="00C6560D"/>
    <w:rsid w:val="00C65A91"/>
    <w:rsid w:val="00C65ADD"/>
    <w:rsid w:val="00C65D24"/>
    <w:rsid w:val="00C65E0D"/>
    <w:rsid w:val="00C65EE7"/>
    <w:rsid w:val="00C65F58"/>
    <w:rsid w:val="00C6622D"/>
    <w:rsid w:val="00C66571"/>
    <w:rsid w:val="00C66649"/>
    <w:rsid w:val="00C666DB"/>
    <w:rsid w:val="00C667F6"/>
    <w:rsid w:val="00C66C34"/>
    <w:rsid w:val="00C66E67"/>
    <w:rsid w:val="00C67258"/>
    <w:rsid w:val="00C67E2E"/>
    <w:rsid w:val="00C67F34"/>
    <w:rsid w:val="00C70366"/>
    <w:rsid w:val="00C7040D"/>
    <w:rsid w:val="00C70B8C"/>
    <w:rsid w:val="00C71082"/>
    <w:rsid w:val="00C71327"/>
    <w:rsid w:val="00C71468"/>
    <w:rsid w:val="00C723AF"/>
    <w:rsid w:val="00C723CA"/>
    <w:rsid w:val="00C72681"/>
    <w:rsid w:val="00C7271F"/>
    <w:rsid w:val="00C72B80"/>
    <w:rsid w:val="00C72EF5"/>
    <w:rsid w:val="00C7322E"/>
    <w:rsid w:val="00C733ED"/>
    <w:rsid w:val="00C7357D"/>
    <w:rsid w:val="00C73BF6"/>
    <w:rsid w:val="00C74157"/>
    <w:rsid w:val="00C7448E"/>
    <w:rsid w:val="00C74859"/>
    <w:rsid w:val="00C748E2"/>
    <w:rsid w:val="00C74B2A"/>
    <w:rsid w:val="00C75004"/>
    <w:rsid w:val="00C755E8"/>
    <w:rsid w:val="00C75970"/>
    <w:rsid w:val="00C75AC4"/>
    <w:rsid w:val="00C75C9D"/>
    <w:rsid w:val="00C76952"/>
    <w:rsid w:val="00C76C8A"/>
    <w:rsid w:val="00C7731D"/>
    <w:rsid w:val="00C7799E"/>
    <w:rsid w:val="00C80441"/>
    <w:rsid w:val="00C80547"/>
    <w:rsid w:val="00C80CD8"/>
    <w:rsid w:val="00C80DB5"/>
    <w:rsid w:val="00C8198E"/>
    <w:rsid w:val="00C81B30"/>
    <w:rsid w:val="00C8220B"/>
    <w:rsid w:val="00C82387"/>
    <w:rsid w:val="00C823D0"/>
    <w:rsid w:val="00C831FC"/>
    <w:rsid w:val="00C8395C"/>
    <w:rsid w:val="00C83D50"/>
    <w:rsid w:val="00C84231"/>
    <w:rsid w:val="00C847C8"/>
    <w:rsid w:val="00C84D5A"/>
    <w:rsid w:val="00C85034"/>
    <w:rsid w:val="00C8534D"/>
    <w:rsid w:val="00C85F12"/>
    <w:rsid w:val="00C86379"/>
    <w:rsid w:val="00C864DB"/>
    <w:rsid w:val="00C8669B"/>
    <w:rsid w:val="00C86A4C"/>
    <w:rsid w:val="00C870BA"/>
    <w:rsid w:val="00C8781D"/>
    <w:rsid w:val="00C878E9"/>
    <w:rsid w:val="00C87AF9"/>
    <w:rsid w:val="00C901A9"/>
    <w:rsid w:val="00C9047A"/>
    <w:rsid w:val="00C905AC"/>
    <w:rsid w:val="00C9065E"/>
    <w:rsid w:val="00C90B43"/>
    <w:rsid w:val="00C90C65"/>
    <w:rsid w:val="00C90C82"/>
    <w:rsid w:val="00C90F7A"/>
    <w:rsid w:val="00C911EF"/>
    <w:rsid w:val="00C91CFB"/>
    <w:rsid w:val="00C91FAC"/>
    <w:rsid w:val="00C9220C"/>
    <w:rsid w:val="00C922C5"/>
    <w:rsid w:val="00C92352"/>
    <w:rsid w:val="00C923B7"/>
    <w:rsid w:val="00C927AB"/>
    <w:rsid w:val="00C92C2A"/>
    <w:rsid w:val="00C9318C"/>
    <w:rsid w:val="00C93297"/>
    <w:rsid w:val="00C93543"/>
    <w:rsid w:val="00C94051"/>
    <w:rsid w:val="00C945EC"/>
    <w:rsid w:val="00C94B58"/>
    <w:rsid w:val="00C94BBA"/>
    <w:rsid w:val="00C94E45"/>
    <w:rsid w:val="00C95300"/>
    <w:rsid w:val="00C95548"/>
    <w:rsid w:val="00C955F6"/>
    <w:rsid w:val="00C95656"/>
    <w:rsid w:val="00C95730"/>
    <w:rsid w:val="00C95962"/>
    <w:rsid w:val="00C959AA"/>
    <w:rsid w:val="00C95EC0"/>
    <w:rsid w:val="00C95FD1"/>
    <w:rsid w:val="00C9638E"/>
    <w:rsid w:val="00C963E1"/>
    <w:rsid w:val="00C965AD"/>
    <w:rsid w:val="00C96835"/>
    <w:rsid w:val="00C96A24"/>
    <w:rsid w:val="00C96D37"/>
    <w:rsid w:val="00C96D71"/>
    <w:rsid w:val="00C96F89"/>
    <w:rsid w:val="00C96FE0"/>
    <w:rsid w:val="00C97572"/>
    <w:rsid w:val="00C9785E"/>
    <w:rsid w:val="00C97AF1"/>
    <w:rsid w:val="00C97D77"/>
    <w:rsid w:val="00CA09AA"/>
    <w:rsid w:val="00CA0FCC"/>
    <w:rsid w:val="00CA114D"/>
    <w:rsid w:val="00CA1225"/>
    <w:rsid w:val="00CA18D2"/>
    <w:rsid w:val="00CA2919"/>
    <w:rsid w:val="00CA2C56"/>
    <w:rsid w:val="00CA3DB2"/>
    <w:rsid w:val="00CA41D9"/>
    <w:rsid w:val="00CA4586"/>
    <w:rsid w:val="00CA49C0"/>
    <w:rsid w:val="00CA4A24"/>
    <w:rsid w:val="00CA4A3F"/>
    <w:rsid w:val="00CA4C14"/>
    <w:rsid w:val="00CA4D19"/>
    <w:rsid w:val="00CA4F58"/>
    <w:rsid w:val="00CA51A0"/>
    <w:rsid w:val="00CA5DA3"/>
    <w:rsid w:val="00CA6164"/>
    <w:rsid w:val="00CA6734"/>
    <w:rsid w:val="00CA6BDF"/>
    <w:rsid w:val="00CB0072"/>
    <w:rsid w:val="00CB01BC"/>
    <w:rsid w:val="00CB03CF"/>
    <w:rsid w:val="00CB047F"/>
    <w:rsid w:val="00CB11BD"/>
    <w:rsid w:val="00CB1368"/>
    <w:rsid w:val="00CB167F"/>
    <w:rsid w:val="00CB1F2A"/>
    <w:rsid w:val="00CB2655"/>
    <w:rsid w:val="00CB299C"/>
    <w:rsid w:val="00CB2BBA"/>
    <w:rsid w:val="00CB35ED"/>
    <w:rsid w:val="00CB39EB"/>
    <w:rsid w:val="00CB3A64"/>
    <w:rsid w:val="00CB41E7"/>
    <w:rsid w:val="00CB480A"/>
    <w:rsid w:val="00CB4FA5"/>
    <w:rsid w:val="00CB5008"/>
    <w:rsid w:val="00CB58DD"/>
    <w:rsid w:val="00CB59CB"/>
    <w:rsid w:val="00CB6343"/>
    <w:rsid w:val="00CB6517"/>
    <w:rsid w:val="00CB7648"/>
    <w:rsid w:val="00CB79A4"/>
    <w:rsid w:val="00CB7B6B"/>
    <w:rsid w:val="00CB7F5F"/>
    <w:rsid w:val="00CC00B7"/>
    <w:rsid w:val="00CC034B"/>
    <w:rsid w:val="00CC07BA"/>
    <w:rsid w:val="00CC099A"/>
    <w:rsid w:val="00CC0AA7"/>
    <w:rsid w:val="00CC0E56"/>
    <w:rsid w:val="00CC1555"/>
    <w:rsid w:val="00CC172A"/>
    <w:rsid w:val="00CC1A18"/>
    <w:rsid w:val="00CC1D2E"/>
    <w:rsid w:val="00CC1E3E"/>
    <w:rsid w:val="00CC1E40"/>
    <w:rsid w:val="00CC27F5"/>
    <w:rsid w:val="00CC2D18"/>
    <w:rsid w:val="00CC2EFE"/>
    <w:rsid w:val="00CC32B0"/>
    <w:rsid w:val="00CC34E2"/>
    <w:rsid w:val="00CC3983"/>
    <w:rsid w:val="00CC3D8D"/>
    <w:rsid w:val="00CC3E8C"/>
    <w:rsid w:val="00CC400F"/>
    <w:rsid w:val="00CC4365"/>
    <w:rsid w:val="00CC4C5E"/>
    <w:rsid w:val="00CC4C9E"/>
    <w:rsid w:val="00CC4CD7"/>
    <w:rsid w:val="00CC4F58"/>
    <w:rsid w:val="00CC57AE"/>
    <w:rsid w:val="00CC606C"/>
    <w:rsid w:val="00CC620F"/>
    <w:rsid w:val="00CC728B"/>
    <w:rsid w:val="00CC7356"/>
    <w:rsid w:val="00CC74D5"/>
    <w:rsid w:val="00CC74E5"/>
    <w:rsid w:val="00CC7A6D"/>
    <w:rsid w:val="00CC7DF5"/>
    <w:rsid w:val="00CD04B6"/>
    <w:rsid w:val="00CD0740"/>
    <w:rsid w:val="00CD0768"/>
    <w:rsid w:val="00CD0B87"/>
    <w:rsid w:val="00CD14CB"/>
    <w:rsid w:val="00CD179D"/>
    <w:rsid w:val="00CD1E74"/>
    <w:rsid w:val="00CD2585"/>
    <w:rsid w:val="00CD283A"/>
    <w:rsid w:val="00CD309B"/>
    <w:rsid w:val="00CD3122"/>
    <w:rsid w:val="00CD325D"/>
    <w:rsid w:val="00CD3372"/>
    <w:rsid w:val="00CD3421"/>
    <w:rsid w:val="00CD37A5"/>
    <w:rsid w:val="00CD3B95"/>
    <w:rsid w:val="00CD3C3B"/>
    <w:rsid w:val="00CD3D0C"/>
    <w:rsid w:val="00CD3D4B"/>
    <w:rsid w:val="00CD3F09"/>
    <w:rsid w:val="00CD3FAF"/>
    <w:rsid w:val="00CD492B"/>
    <w:rsid w:val="00CD5ADA"/>
    <w:rsid w:val="00CD5C02"/>
    <w:rsid w:val="00CD5F80"/>
    <w:rsid w:val="00CD61E3"/>
    <w:rsid w:val="00CD6823"/>
    <w:rsid w:val="00CD6D63"/>
    <w:rsid w:val="00CD6E0B"/>
    <w:rsid w:val="00CD787F"/>
    <w:rsid w:val="00CD7A86"/>
    <w:rsid w:val="00CE025E"/>
    <w:rsid w:val="00CE030D"/>
    <w:rsid w:val="00CE03B6"/>
    <w:rsid w:val="00CE05B4"/>
    <w:rsid w:val="00CE05F2"/>
    <w:rsid w:val="00CE0CBF"/>
    <w:rsid w:val="00CE0F12"/>
    <w:rsid w:val="00CE112E"/>
    <w:rsid w:val="00CE1225"/>
    <w:rsid w:val="00CE132D"/>
    <w:rsid w:val="00CE143E"/>
    <w:rsid w:val="00CE19F2"/>
    <w:rsid w:val="00CE253D"/>
    <w:rsid w:val="00CE3257"/>
    <w:rsid w:val="00CE38AA"/>
    <w:rsid w:val="00CE3CDC"/>
    <w:rsid w:val="00CE3D16"/>
    <w:rsid w:val="00CE3D41"/>
    <w:rsid w:val="00CE3FBA"/>
    <w:rsid w:val="00CE44B7"/>
    <w:rsid w:val="00CE5386"/>
    <w:rsid w:val="00CE53A7"/>
    <w:rsid w:val="00CE5CB1"/>
    <w:rsid w:val="00CE5E50"/>
    <w:rsid w:val="00CE630B"/>
    <w:rsid w:val="00CE69F3"/>
    <w:rsid w:val="00CE6AD5"/>
    <w:rsid w:val="00CE6E24"/>
    <w:rsid w:val="00CE7392"/>
    <w:rsid w:val="00CE76BD"/>
    <w:rsid w:val="00CE781A"/>
    <w:rsid w:val="00CF0131"/>
    <w:rsid w:val="00CF02AC"/>
    <w:rsid w:val="00CF057C"/>
    <w:rsid w:val="00CF06E6"/>
    <w:rsid w:val="00CF0EA3"/>
    <w:rsid w:val="00CF18AB"/>
    <w:rsid w:val="00CF193E"/>
    <w:rsid w:val="00CF1AA6"/>
    <w:rsid w:val="00CF1C27"/>
    <w:rsid w:val="00CF20C8"/>
    <w:rsid w:val="00CF2639"/>
    <w:rsid w:val="00CF2EF5"/>
    <w:rsid w:val="00CF2FBF"/>
    <w:rsid w:val="00CF31DC"/>
    <w:rsid w:val="00CF33BA"/>
    <w:rsid w:val="00CF3E2B"/>
    <w:rsid w:val="00CF3F01"/>
    <w:rsid w:val="00CF4022"/>
    <w:rsid w:val="00CF4050"/>
    <w:rsid w:val="00CF41AE"/>
    <w:rsid w:val="00CF495B"/>
    <w:rsid w:val="00CF4B3B"/>
    <w:rsid w:val="00CF4F02"/>
    <w:rsid w:val="00CF4F88"/>
    <w:rsid w:val="00CF5E07"/>
    <w:rsid w:val="00CF5E86"/>
    <w:rsid w:val="00CF5EE9"/>
    <w:rsid w:val="00CF61A3"/>
    <w:rsid w:val="00CF66DE"/>
    <w:rsid w:val="00CF6848"/>
    <w:rsid w:val="00CF6AF3"/>
    <w:rsid w:val="00CF6C9A"/>
    <w:rsid w:val="00CF74F6"/>
    <w:rsid w:val="00CF76AE"/>
    <w:rsid w:val="00CF7CCF"/>
    <w:rsid w:val="00CF7D8D"/>
    <w:rsid w:val="00D0033A"/>
    <w:rsid w:val="00D00522"/>
    <w:rsid w:val="00D00B22"/>
    <w:rsid w:val="00D00FCA"/>
    <w:rsid w:val="00D017EE"/>
    <w:rsid w:val="00D01C73"/>
    <w:rsid w:val="00D02369"/>
    <w:rsid w:val="00D02AFC"/>
    <w:rsid w:val="00D02C36"/>
    <w:rsid w:val="00D02E17"/>
    <w:rsid w:val="00D02F2F"/>
    <w:rsid w:val="00D0321D"/>
    <w:rsid w:val="00D039A0"/>
    <w:rsid w:val="00D03AC6"/>
    <w:rsid w:val="00D03C72"/>
    <w:rsid w:val="00D04A63"/>
    <w:rsid w:val="00D04FC8"/>
    <w:rsid w:val="00D050BA"/>
    <w:rsid w:val="00D05B47"/>
    <w:rsid w:val="00D05F62"/>
    <w:rsid w:val="00D05FD4"/>
    <w:rsid w:val="00D05FFE"/>
    <w:rsid w:val="00D06088"/>
    <w:rsid w:val="00D0675C"/>
    <w:rsid w:val="00D06800"/>
    <w:rsid w:val="00D06B22"/>
    <w:rsid w:val="00D06DED"/>
    <w:rsid w:val="00D070AD"/>
    <w:rsid w:val="00D073D1"/>
    <w:rsid w:val="00D078A7"/>
    <w:rsid w:val="00D078A9"/>
    <w:rsid w:val="00D078C9"/>
    <w:rsid w:val="00D07BEB"/>
    <w:rsid w:val="00D07D73"/>
    <w:rsid w:val="00D07DCA"/>
    <w:rsid w:val="00D07E5F"/>
    <w:rsid w:val="00D1023A"/>
    <w:rsid w:val="00D11672"/>
    <w:rsid w:val="00D11873"/>
    <w:rsid w:val="00D11DD7"/>
    <w:rsid w:val="00D11FAE"/>
    <w:rsid w:val="00D12371"/>
    <w:rsid w:val="00D12440"/>
    <w:rsid w:val="00D1249E"/>
    <w:rsid w:val="00D126E6"/>
    <w:rsid w:val="00D126F8"/>
    <w:rsid w:val="00D128F5"/>
    <w:rsid w:val="00D12B75"/>
    <w:rsid w:val="00D1303E"/>
    <w:rsid w:val="00D13451"/>
    <w:rsid w:val="00D13820"/>
    <w:rsid w:val="00D13880"/>
    <w:rsid w:val="00D13BBC"/>
    <w:rsid w:val="00D13F9F"/>
    <w:rsid w:val="00D14204"/>
    <w:rsid w:val="00D14728"/>
    <w:rsid w:val="00D1478F"/>
    <w:rsid w:val="00D1552A"/>
    <w:rsid w:val="00D15D9D"/>
    <w:rsid w:val="00D1624D"/>
    <w:rsid w:val="00D16996"/>
    <w:rsid w:val="00D17869"/>
    <w:rsid w:val="00D1792B"/>
    <w:rsid w:val="00D17F37"/>
    <w:rsid w:val="00D202D3"/>
    <w:rsid w:val="00D2171B"/>
    <w:rsid w:val="00D217CE"/>
    <w:rsid w:val="00D21A77"/>
    <w:rsid w:val="00D21E67"/>
    <w:rsid w:val="00D22148"/>
    <w:rsid w:val="00D22166"/>
    <w:rsid w:val="00D229A3"/>
    <w:rsid w:val="00D22D40"/>
    <w:rsid w:val="00D22ECC"/>
    <w:rsid w:val="00D2348D"/>
    <w:rsid w:val="00D23556"/>
    <w:rsid w:val="00D239F9"/>
    <w:rsid w:val="00D23A1F"/>
    <w:rsid w:val="00D23B89"/>
    <w:rsid w:val="00D23CE2"/>
    <w:rsid w:val="00D2406F"/>
    <w:rsid w:val="00D244D5"/>
    <w:rsid w:val="00D24D04"/>
    <w:rsid w:val="00D25866"/>
    <w:rsid w:val="00D25A61"/>
    <w:rsid w:val="00D25E03"/>
    <w:rsid w:val="00D261FB"/>
    <w:rsid w:val="00D26283"/>
    <w:rsid w:val="00D263B5"/>
    <w:rsid w:val="00D26586"/>
    <w:rsid w:val="00D2664C"/>
    <w:rsid w:val="00D2670D"/>
    <w:rsid w:val="00D26B2E"/>
    <w:rsid w:val="00D26DBE"/>
    <w:rsid w:val="00D27AAD"/>
    <w:rsid w:val="00D27B06"/>
    <w:rsid w:val="00D27F01"/>
    <w:rsid w:val="00D30373"/>
    <w:rsid w:val="00D309B2"/>
    <w:rsid w:val="00D309D3"/>
    <w:rsid w:val="00D30C46"/>
    <w:rsid w:val="00D30FC7"/>
    <w:rsid w:val="00D31B9F"/>
    <w:rsid w:val="00D31BEA"/>
    <w:rsid w:val="00D31CEF"/>
    <w:rsid w:val="00D328AE"/>
    <w:rsid w:val="00D33313"/>
    <w:rsid w:val="00D333D7"/>
    <w:rsid w:val="00D33410"/>
    <w:rsid w:val="00D33418"/>
    <w:rsid w:val="00D33458"/>
    <w:rsid w:val="00D33AFC"/>
    <w:rsid w:val="00D33C0E"/>
    <w:rsid w:val="00D3410B"/>
    <w:rsid w:val="00D344C9"/>
    <w:rsid w:val="00D358B2"/>
    <w:rsid w:val="00D359BB"/>
    <w:rsid w:val="00D35FCC"/>
    <w:rsid w:val="00D3609F"/>
    <w:rsid w:val="00D3610A"/>
    <w:rsid w:val="00D366C8"/>
    <w:rsid w:val="00D368C6"/>
    <w:rsid w:val="00D36C8E"/>
    <w:rsid w:val="00D36D5A"/>
    <w:rsid w:val="00D374E1"/>
    <w:rsid w:val="00D37A26"/>
    <w:rsid w:val="00D37C2D"/>
    <w:rsid w:val="00D404CE"/>
    <w:rsid w:val="00D40D79"/>
    <w:rsid w:val="00D40E25"/>
    <w:rsid w:val="00D40E78"/>
    <w:rsid w:val="00D40F5C"/>
    <w:rsid w:val="00D41009"/>
    <w:rsid w:val="00D41901"/>
    <w:rsid w:val="00D41CD0"/>
    <w:rsid w:val="00D421D9"/>
    <w:rsid w:val="00D42223"/>
    <w:rsid w:val="00D422E4"/>
    <w:rsid w:val="00D424E7"/>
    <w:rsid w:val="00D426E8"/>
    <w:rsid w:val="00D426FB"/>
    <w:rsid w:val="00D42B71"/>
    <w:rsid w:val="00D42D5D"/>
    <w:rsid w:val="00D43888"/>
    <w:rsid w:val="00D4429F"/>
    <w:rsid w:val="00D44A5C"/>
    <w:rsid w:val="00D44CC3"/>
    <w:rsid w:val="00D45B68"/>
    <w:rsid w:val="00D466E5"/>
    <w:rsid w:val="00D467C7"/>
    <w:rsid w:val="00D4688E"/>
    <w:rsid w:val="00D46E3E"/>
    <w:rsid w:val="00D46F2D"/>
    <w:rsid w:val="00D470C1"/>
    <w:rsid w:val="00D47151"/>
    <w:rsid w:val="00D471EF"/>
    <w:rsid w:val="00D475CC"/>
    <w:rsid w:val="00D477E2"/>
    <w:rsid w:val="00D4785C"/>
    <w:rsid w:val="00D47A34"/>
    <w:rsid w:val="00D5044A"/>
    <w:rsid w:val="00D50C82"/>
    <w:rsid w:val="00D50F95"/>
    <w:rsid w:val="00D5102A"/>
    <w:rsid w:val="00D511FC"/>
    <w:rsid w:val="00D512D1"/>
    <w:rsid w:val="00D513F0"/>
    <w:rsid w:val="00D51565"/>
    <w:rsid w:val="00D51AAF"/>
    <w:rsid w:val="00D51F84"/>
    <w:rsid w:val="00D52200"/>
    <w:rsid w:val="00D52400"/>
    <w:rsid w:val="00D527A2"/>
    <w:rsid w:val="00D52A9A"/>
    <w:rsid w:val="00D52E1D"/>
    <w:rsid w:val="00D53387"/>
    <w:rsid w:val="00D53768"/>
    <w:rsid w:val="00D537B0"/>
    <w:rsid w:val="00D54370"/>
    <w:rsid w:val="00D5438E"/>
    <w:rsid w:val="00D5490B"/>
    <w:rsid w:val="00D54C59"/>
    <w:rsid w:val="00D54CA0"/>
    <w:rsid w:val="00D54D88"/>
    <w:rsid w:val="00D5521C"/>
    <w:rsid w:val="00D554E6"/>
    <w:rsid w:val="00D55723"/>
    <w:rsid w:val="00D55B68"/>
    <w:rsid w:val="00D55BD5"/>
    <w:rsid w:val="00D55C37"/>
    <w:rsid w:val="00D56330"/>
    <w:rsid w:val="00D563C2"/>
    <w:rsid w:val="00D56810"/>
    <w:rsid w:val="00D56C31"/>
    <w:rsid w:val="00D56D65"/>
    <w:rsid w:val="00D572B2"/>
    <w:rsid w:val="00D57AC0"/>
    <w:rsid w:val="00D57C20"/>
    <w:rsid w:val="00D57F0A"/>
    <w:rsid w:val="00D60207"/>
    <w:rsid w:val="00D6041F"/>
    <w:rsid w:val="00D60BCB"/>
    <w:rsid w:val="00D60C1A"/>
    <w:rsid w:val="00D60CB2"/>
    <w:rsid w:val="00D60DD4"/>
    <w:rsid w:val="00D610FA"/>
    <w:rsid w:val="00D61652"/>
    <w:rsid w:val="00D61697"/>
    <w:rsid w:val="00D62243"/>
    <w:rsid w:val="00D6278F"/>
    <w:rsid w:val="00D62949"/>
    <w:rsid w:val="00D629D3"/>
    <w:rsid w:val="00D62DEC"/>
    <w:rsid w:val="00D62E00"/>
    <w:rsid w:val="00D63BAD"/>
    <w:rsid w:val="00D63D97"/>
    <w:rsid w:val="00D6410E"/>
    <w:rsid w:val="00D6420A"/>
    <w:rsid w:val="00D643A8"/>
    <w:rsid w:val="00D6447E"/>
    <w:rsid w:val="00D645BF"/>
    <w:rsid w:val="00D647F9"/>
    <w:rsid w:val="00D6485C"/>
    <w:rsid w:val="00D64CB8"/>
    <w:rsid w:val="00D65404"/>
    <w:rsid w:val="00D6575A"/>
    <w:rsid w:val="00D65837"/>
    <w:rsid w:val="00D65DD6"/>
    <w:rsid w:val="00D66008"/>
    <w:rsid w:val="00D66022"/>
    <w:rsid w:val="00D66065"/>
    <w:rsid w:val="00D66C66"/>
    <w:rsid w:val="00D66DAA"/>
    <w:rsid w:val="00D671EF"/>
    <w:rsid w:val="00D67888"/>
    <w:rsid w:val="00D67EA6"/>
    <w:rsid w:val="00D7010A"/>
    <w:rsid w:val="00D7040B"/>
    <w:rsid w:val="00D7066F"/>
    <w:rsid w:val="00D70B5B"/>
    <w:rsid w:val="00D70F5E"/>
    <w:rsid w:val="00D70F87"/>
    <w:rsid w:val="00D7123A"/>
    <w:rsid w:val="00D71399"/>
    <w:rsid w:val="00D71707"/>
    <w:rsid w:val="00D71BD5"/>
    <w:rsid w:val="00D72265"/>
    <w:rsid w:val="00D72BDC"/>
    <w:rsid w:val="00D73118"/>
    <w:rsid w:val="00D73347"/>
    <w:rsid w:val="00D7364D"/>
    <w:rsid w:val="00D73A3C"/>
    <w:rsid w:val="00D73A6B"/>
    <w:rsid w:val="00D73DAD"/>
    <w:rsid w:val="00D73E0D"/>
    <w:rsid w:val="00D74461"/>
    <w:rsid w:val="00D74AF7"/>
    <w:rsid w:val="00D7505F"/>
    <w:rsid w:val="00D75199"/>
    <w:rsid w:val="00D75277"/>
    <w:rsid w:val="00D755A0"/>
    <w:rsid w:val="00D75843"/>
    <w:rsid w:val="00D758A1"/>
    <w:rsid w:val="00D75E85"/>
    <w:rsid w:val="00D75F68"/>
    <w:rsid w:val="00D7643F"/>
    <w:rsid w:val="00D7648B"/>
    <w:rsid w:val="00D769F0"/>
    <w:rsid w:val="00D76E0D"/>
    <w:rsid w:val="00D76E83"/>
    <w:rsid w:val="00D771C9"/>
    <w:rsid w:val="00D800A1"/>
    <w:rsid w:val="00D8036A"/>
    <w:rsid w:val="00D80AB8"/>
    <w:rsid w:val="00D80C93"/>
    <w:rsid w:val="00D80CCB"/>
    <w:rsid w:val="00D81307"/>
    <w:rsid w:val="00D81465"/>
    <w:rsid w:val="00D817FD"/>
    <w:rsid w:val="00D820F3"/>
    <w:rsid w:val="00D829AC"/>
    <w:rsid w:val="00D82AA1"/>
    <w:rsid w:val="00D83401"/>
    <w:rsid w:val="00D83850"/>
    <w:rsid w:val="00D84268"/>
    <w:rsid w:val="00D84278"/>
    <w:rsid w:val="00D846C5"/>
    <w:rsid w:val="00D847C6"/>
    <w:rsid w:val="00D84EF8"/>
    <w:rsid w:val="00D86095"/>
    <w:rsid w:val="00D86ACF"/>
    <w:rsid w:val="00D86B37"/>
    <w:rsid w:val="00D86EF6"/>
    <w:rsid w:val="00D87154"/>
    <w:rsid w:val="00D8778A"/>
    <w:rsid w:val="00D91009"/>
    <w:rsid w:val="00D9120D"/>
    <w:rsid w:val="00D9126A"/>
    <w:rsid w:val="00D912DF"/>
    <w:rsid w:val="00D9134B"/>
    <w:rsid w:val="00D9151F"/>
    <w:rsid w:val="00D919F7"/>
    <w:rsid w:val="00D91AEE"/>
    <w:rsid w:val="00D91F8C"/>
    <w:rsid w:val="00D92265"/>
    <w:rsid w:val="00D9230B"/>
    <w:rsid w:val="00D9254D"/>
    <w:rsid w:val="00D92558"/>
    <w:rsid w:val="00D92633"/>
    <w:rsid w:val="00D92CBC"/>
    <w:rsid w:val="00D92FD3"/>
    <w:rsid w:val="00D931F2"/>
    <w:rsid w:val="00D933B9"/>
    <w:rsid w:val="00D938C1"/>
    <w:rsid w:val="00D938CE"/>
    <w:rsid w:val="00D93EF4"/>
    <w:rsid w:val="00D94909"/>
    <w:rsid w:val="00D94BB0"/>
    <w:rsid w:val="00D94FF3"/>
    <w:rsid w:val="00D95322"/>
    <w:rsid w:val="00D955B0"/>
    <w:rsid w:val="00D956A2"/>
    <w:rsid w:val="00D957C0"/>
    <w:rsid w:val="00D95BC2"/>
    <w:rsid w:val="00D95BFF"/>
    <w:rsid w:val="00D95F45"/>
    <w:rsid w:val="00D96AD5"/>
    <w:rsid w:val="00D9793D"/>
    <w:rsid w:val="00D97D08"/>
    <w:rsid w:val="00D97E86"/>
    <w:rsid w:val="00DA000D"/>
    <w:rsid w:val="00DA015E"/>
    <w:rsid w:val="00DA02EC"/>
    <w:rsid w:val="00DA05B0"/>
    <w:rsid w:val="00DA0FC0"/>
    <w:rsid w:val="00DA10F6"/>
    <w:rsid w:val="00DA1D80"/>
    <w:rsid w:val="00DA2046"/>
    <w:rsid w:val="00DA2185"/>
    <w:rsid w:val="00DA23D2"/>
    <w:rsid w:val="00DA29C4"/>
    <w:rsid w:val="00DA2D90"/>
    <w:rsid w:val="00DA3A26"/>
    <w:rsid w:val="00DA3B43"/>
    <w:rsid w:val="00DA3F00"/>
    <w:rsid w:val="00DA43CA"/>
    <w:rsid w:val="00DA4562"/>
    <w:rsid w:val="00DA4788"/>
    <w:rsid w:val="00DA492A"/>
    <w:rsid w:val="00DA49D8"/>
    <w:rsid w:val="00DA518C"/>
    <w:rsid w:val="00DA5655"/>
    <w:rsid w:val="00DA5CA9"/>
    <w:rsid w:val="00DA5E7E"/>
    <w:rsid w:val="00DA714A"/>
    <w:rsid w:val="00DA71AF"/>
    <w:rsid w:val="00DA727D"/>
    <w:rsid w:val="00DA7A85"/>
    <w:rsid w:val="00DA7BC7"/>
    <w:rsid w:val="00DA7E4C"/>
    <w:rsid w:val="00DA7EC1"/>
    <w:rsid w:val="00DB0564"/>
    <w:rsid w:val="00DB0568"/>
    <w:rsid w:val="00DB0D5D"/>
    <w:rsid w:val="00DB0F35"/>
    <w:rsid w:val="00DB1539"/>
    <w:rsid w:val="00DB1F98"/>
    <w:rsid w:val="00DB2557"/>
    <w:rsid w:val="00DB27E1"/>
    <w:rsid w:val="00DB2CDC"/>
    <w:rsid w:val="00DB2CF9"/>
    <w:rsid w:val="00DB2F94"/>
    <w:rsid w:val="00DB2FDC"/>
    <w:rsid w:val="00DB3133"/>
    <w:rsid w:val="00DB3454"/>
    <w:rsid w:val="00DB35C7"/>
    <w:rsid w:val="00DB3719"/>
    <w:rsid w:val="00DB39DE"/>
    <w:rsid w:val="00DB39FE"/>
    <w:rsid w:val="00DB3D0B"/>
    <w:rsid w:val="00DB3D52"/>
    <w:rsid w:val="00DB42C3"/>
    <w:rsid w:val="00DB4322"/>
    <w:rsid w:val="00DB452C"/>
    <w:rsid w:val="00DB4F9D"/>
    <w:rsid w:val="00DB5799"/>
    <w:rsid w:val="00DB5A21"/>
    <w:rsid w:val="00DB5DEB"/>
    <w:rsid w:val="00DB5EBC"/>
    <w:rsid w:val="00DB5EE5"/>
    <w:rsid w:val="00DB6681"/>
    <w:rsid w:val="00DB6FDF"/>
    <w:rsid w:val="00DB70B3"/>
    <w:rsid w:val="00DB749A"/>
    <w:rsid w:val="00DB7E8C"/>
    <w:rsid w:val="00DC0F93"/>
    <w:rsid w:val="00DC1384"/>
    <w:rsid w:val="00DC1479"/>
    <w:rsid w:val="00DC1624"/>
    <w:rsid w:val="00DC1763"/>
    <w:rsid w:val="00DC1FCC"/>
    <w:rsid w:val="00DC22B7"/>
    <w:rsid w:val="00DC257F"/>
    <w:rsid w:val="00DC2898"/>
    <w:rsid w:val="00DC28A6"/>
    <w:rsid w:val="00DC28EC"/>
    <w:rsid w:val="00DC3417"/>
    <w:rsid w:val="00DC3DE4"/>
    <w:rsid w:val="00DC4D82"/>
    <w:rsid w:val="00DC5015"/>
    <w:rsid w:val="00DC522F"/>
    <w:rsid w:val="00DC588E"/>
    <w:rsid w:val="00DC5E7A"/>
    <w:rsid w:val="00DC6035"/>
    <w:rsid w:val="00DC65D8"/>
    <w:rsid w:val="00DC6870"/>
    <w:rsid w:val="00DC69C6"/>
    <w:rsid w:val="00DC6A94"/>
    <w:rsid w:val="00DC6E29"/>
    <w:rsid w:val="00DC7680"/>
    <w:rsid w:val="00DC7890"/>
    <w:rsid w:val="00DC79A3"/>
    <w:rsid w:val="00DC7E92"/>
    <w:rsid w:val="00DD02C4"/>
    <w:rsid w:val="00DD044C"/>
    <w:rsid w:val="00DD128A"/>
    <w:rsid w:val="00DD12B1"/>
    <w:rsid w:val="00DD12B5"/>
    <w:rsid w:val="00DD157A"/>
    <w:rsid w:val="00DD18BD"/>
    <w:rsid w:val="00DD1947"/>
    <w:rsid w:val="00DD1E75"/>
    <w:rsid w:val="00DD1ED7"/>
    <w:rsid w:val="00DD242B"/>
    <w:rsid w:val="00DD2C34"/>
    <w:rsid w:val="00DD2DEB"/>
    <w:rsid w:val="00DD2FE5"/>
    <w:rsid w:val="00DD32DF"/>
    <w:rsid w:val="00DD3401"/>
    <w:rsid w:val="00DD3430"/>
    <w:rsid w:val="00DD3480"/>
    <w:rsid w:val="00DD3565"/>
    <w:rsid w:val="00DD430B"/>
    <w:rsid w:val="00DD49D3"/>
    <w:rsid w:val="00DD4D87"/>
    <w:rsid w:val="00DD59AB"/>
    <w:rsid w:val="00DD5FFE"/>
    <w:rsid w:val="00DD6396"/>
    <w:rsid w:val="00DD6C70"/>
    <w:rsid w:val="00DD6DA2"/>
    <w:rsid w:val="00DD761C"/>
    <w:rsid w:val="00DE0171"/>
    <w:rsid w:val="00DE0333"/>
    <w:rsid w:val="00DE0558"/>
    <w:rsid w:val="00DE067E"/>
    <w:rsid w:val="00DE088E"/>
    <w:rsid w:val="00DE0B96"/>
    <w:rsid w:val="00DE128B"/>
    <w:rsid w:val="00DE14E8"/>
    <w:rsid w:val="00DE1799"/>
    <w:rsid w:val="00DE21CF"/>
    <w:rsid w:val="00DE279F"/>
    <w:rsid w:val="00DE2D4B"/>
    <w:rsid w:val="00DE34C6"/>
    <w:rsid w:val="00DE3E7C"/>
    <w:rsid w:val="00DE464E"/>
    <w:rsid w:val="00DE4664"/>
    <w:rsid w:val="00DE4811"/>
    <w:rsid w:val="00DE4B0C"/>
    <w:rsid w:val="00DE5FDA"/>
    <w:rsid w:val="00DE61AA"/>
    <w:rsid w:val="00DE67AE"/>
    <w:rsid w:val="00DE72D7"/>
    <w:rsid w:val="00DE73EF"/>
    <w:rsid w:val="00DE752E"/>
    <w:rsid w:val="00DE7793"/>
    <w:rsid w:val="00DE7D03"/>
    <w:rsid w:val="00DE7F45"/>
    <w:rsid w:val="00DF02EC"/>
    <w:rsid w:val="00DF0820"/>
    <w:rsid w:val="00DF0D33"/>
    <w:rsid w:val="00DF0E63"/>
    <w:rsid w:val="00DF12DC"/>
    <w:rsid w:val="00DF1300"/>
    <w:rsid w:val="00DF1630"/>
    <w:rsid w:val="00DF1EB6"/>
    <w:rsid w:val="00DF1FD6"/>
    <w:rsid w:val="00DF21AF"/>
    <w:rsid w:val="00DF2412"/>
    <w:rsid w:val="00DF32AF"/>
    <w:rsid w:val="00DF3307"/>
    <w:rsid w:val="00DF35C2"/>
    <w:rsid w:val="00DF360E"/>
    <w:rsid w:val="00DF3623"/>
    <w:rsid w:val="00DF3A2C"/>
    <w:rsid w:val="00DF3F90"/>
    <w:rsid w:val="00DF4158"/>
    <w:rsid w:val="00DF4430"/>
    <w:rsid w:val="00DF4920"/>
    <w:rsid w:val="00DF4DEA"/>
    <w:rsid w:val="00DF4F19"/>
    <w:rsid w:val="00DF5002"/>
    <w:rsid w:val="00DF5270"/>
    <w:rsid w:val="00DF5588"/>
    <w:rsid w:val="00DF5B4C"/>
    <w:rsid w:val="00DF5C89"/>
    <w:rsid w:val="00DF6014"/>
    <w:rsid w:val="00DF61C0"/>
    <w:rsid w:val="00DF6281"/>
    <w:rsid w:val="00DF6531"/>
    <w:rsid w:val="00DF662F"/>
    <w:rsid w:val="00DF6824"/>
    <w:rsid w:val="00DF69A9"/>
    <w:rsid w:val="00DF6A7B"/>
    <w:rsid w:val="00DF6A83"/>
    <w:rsid w:val="00DF7226"/>
    <w:rsid w:val="00DF7BC3"/>
    <w:rsid w:val="00E00368"/>
    <w:rsid w:val="00E005F5"/>
    <w:rsid w:val="00E00A07"/>
    <w:rsid w:val="00E00A92"/>
    <w:rsid w:val="00E01395"/>
    <w:rsid w:val="00E015A5"/>
    <w:rsid w:val="00E019EA"/>
    <w:rsid w:val="00E01A5C"/>
    <w:rsid w:val="00E028E6"/>
    <w:rsid w:val="00E02C20"/>
    <w:rsid w:val="00E0324B"/>
    <w:rsid w:val="00E0345F"/>
    <w:rsid w:val="00E03BEA"/>
    <w:rsid w:val="00E0401E"/>
    <w:rsid w:val="00E04234"/>
    <w:rsid w:val="00E046C1"/>
    <w:rsid w:val="00E049EC"/>
    <w:rsid w:val="00E05A43"/>
    <w:rsid w:val="00E05FC4"/>
    <w:rsid w:val="00E06977"/>
    <w:rsid w:val="00E06AF4"/>
    <w:rsid w:val="00E06F6A"/>
    <w:rsid w:val="00E073C8"/>
    <w:rsid w:val="00E07686"/>
    <w:rsid w:val="00E07E45"/>
    <w:rsid w:val="00E1007C"/>
    <w:rsid w:val="00E100DC"/>
    <w:rsid w:val="00E101F9"/>
    <w:rsid w:val="00E102BD"/>
    <w:rsid w:val="00E1039D"/>
    <w:rsid w:val="00E103F8"/>
    <w:rsid w:val="00E104ED"/>
    <w:rsid w:val="00E10504"/>
    <w:rsid w:val="00E10631"/>
    <w:rsid w:val="00E10DA9"/>
    <w:rsid w:val="00E11EB8"/>
    <w:rsid w:val="00E1273A"/>
    <w:rsid w:val="00E12933"/>
    <w:rsid w:val="00E12A5A"/>
    <w:rsid w:val="00E12AF0"/>
    <w:rsid w:val="00E136AE"/>
    <w:rsid w:val="00E139D0"/>
    <w:rsid w:val="00E14262"/>
    <w:rsid w:val="00E143F1"/>
    <w:rsid w:val="00E145A7"/>
    <w:rsid w:val="00E145E0"/>
    <w:rsid w:val="00E147E5"/>
    <w:rsid w:val="00E14913"/>
    <w:rsid w:val="00E149D5"/>
    <w:rsid w:val="00E150B1"/>
    <w:rsid w:val="00E15352"/>
    <w:rsid w:val="00E153A7"/>
    <w:rsid w:val="00E154A1"/>
    <w:rsid w:val="00E15ED2"/>
    <w:rsid w:val="00E164E8"/>
    <w:rsid w:val="00E1654E"/>
    <w:rsid w:val="00E167D4"/>
    <w:rsid w:val="00E172D5"/>
    <w:rsid w:val="00E175FF"/>
    <w:rsid w:val="00E17C3F"/>
    <w:rsid w:val="00E17CFB"/>
    <w:rsid w:val="00E200EF"/>
    <w:rsid w:val="00E201E3"/>
    <w:rsid w:val="00E20661"/>
    <w:rsid w:val="00E20770"/>
    <w:rsid w:val="00E20855"/>
    <w:rsid w:val="00E20862"/>
    <w:rsid w:val="00E20AD1"/>
    <w:rsid w:val="00E214FB"/>
    <w:rsid w:val="00E216A5"/>
    <w:rsid w:val="00E222C6"/>
    <w:rsid w:val="00E2234C"/>
    <w:rsid w:val="00E224C9"/>
    <w:rsid w:val="00E22625"/>
    <w:rsid w:val="00E229F7"/>
    <w:rsid w:val="00E22A10"/>
    <w:rsid w:val="00E22BF5"/>
    <w:rsid w:val="00E22E2F"/>
    <w:rsid w:val="00E22EE3"/>
    <w:rsid w:val="00E23224"/>
    <w:rsid w:val="00E23467"/>
    <w:rsid w:val="00E237D3"/>
    <w:rsid w:val="00E23851"/>
    <w:rsid w:val="00E23ACC"/>
    <w:rsid w:val="00E23ADB"/>
    <w:rsid w:val="00E24553"/>
    <w:rsid w:val="00E24D56"/>
    <w:rsid w:val="00E24ECA"/>
    <w:rsid w:val="00E250DB"/>
    <w:rsid w:val="00E25328"/>
    <w:rsid w:val="00E25334"/>
    <w:rsid w:val="00E25F1D"/>
    <w:rsid w:val="00E25F49"/>
    <w:rsid w:val="00E2617B"/>
    <w:rsid w:val="00E26224"/>
    <w:rsid w:val="00E2690E"/>
    <w:rsid w:val="00E272FE"/>
    <w:rsid w:val="00E30063"/>
    <w:rsid w:val="00E30517"/>
    <w:rsid w:val="00E3070A"/>
    <w:rsid w:val="00E30A72"/>
    <w:rsid w:val="00E30DB2"/>
    <w:rsid w:val="00E31506"/>
    <w:rsid w:val="00E31586"/>
    <w:rsid w:val="00E31AAC"/>
    <w:rsid w:val="00E3200D"/>
    <w:rsid w:val="00E32E0E"/>
    <w:rsid w:val="00E3305B"/>
    <w:rsid w:val="00E33506"/>
    <w:rsid w:val="00E33802"/>
    <w:rsid w:val="00E33814"/>
    <w:rsid w:val="00E339C6"/>
    <w:rsid w:val="00E33B8C"/>
    <w:rsid w:val="00E33D92"/>
    <w:rsid w:val="00E33E4D"/>
    <w:rsid w:val="00E34D6F"/>
    <w:rsid w:val="00E34F08"/>
    <w:rsid w:val="00E35029"/>
    <w:rsid w:val="00E35698"/>
    <w:rsid w:val="00E35AC2"/>
    <w:rsid w:val="00E35CDC"/>
    <w:rsid w:val="00E35EB9"/>
    <w:rsid w:val="00E35F47"/>
    <w:rsid w:val="00E3610B"/>
    <w:rsid w:val="00E363B9"/>
    <w:rsid w:val="00E36400"/>
    <w:rsid w:val="00E36AED"/>
    <w:rsid w:val="00E3702B"/>
    <w:rsid w:val="00E377BF"/>
    <w:rsid w:val="00E37C25"/>
    <w:rsid w:val="00E40362"/>
    <w:rsid w:val="00E4038C"/>
    <w:rsid w:val="00E40A63"/>
    <w:rsid w:val="00E41BAC"/>
    <w:rsid w:val="00E42532"/>
    <w:rsid w:val="00E42D71"/>
    <w:rsid w:val="00E432AE"/>
    <w:rsid w:val="00E434D2"/>
    <w:rsid w:val="00E4356E"/>
    <w:rsid w:val="00E43F1E"/>
    <w:rsid w:val="00E4466A"/>
    <w:rsid w:val="00E447D5"/>
    <w:rsid w:val="00E45041"/>
    <w:rsid w:val="00E450D8"/>
    <w:rsid w:val="00E452D0"/>
    <w:rsid w:val="00E45A9D"/>
    <w:rsid w:val="00E4607D"/>
    <w:rsid w:val="00E460A1"/>
    <w:rsid w:val="00E46CC9"/>
    <w:rsid w:val="00E47D5F"/>
    <w:rsid w:val="00E47D96"/>
    <w:rsid w:val="00E47DF6"/>
    <w:rsid w:val="00E50344"/>
    <w:rsid w:val="00E508D6"/>
    <w:rsid w:val="00E515A3"/>
    <w:rsid w:val="00E51E23"/>
    <w:rsid w:val="00E523F3"/>
    <w:rsid w:val="00E52F76"/>
    <w:rsid w:val="00E5315C"/>
    <w:rsid w:val="00E534EA"/>
    <w:rsid w:val="00E538E0"/>
    <w:rsid w:val="00E53F95"/>
    <w:rsid w:val="00E547DF"/>
    <w:rsid w:val="00E54D33"/>
    <w:rsid w:val="00E564C1"/>
    <w:rsid w:val="00E56898"/>
    <w:rsid w:val="00E56D97"/>
    <w:rsid w:val="00E56E3C"/>
    <w:rsid w:val="00E56F3C"/>
    <w:rsid w:val="00E5711F"/>
    <w:rsid w:val="00E571C0"/>
    <w:rsid w:val="00E57456"/>
    <w:rsid w:val="00E57623"/>
    <w:rsid w:val="00E57973"/>
    <w:rsid w:val="00E6000E"/>
    <w:rsid w:val="00E60050"/>
    <w:rsid w:val="00E6014B"/>
    <w:rsid w:val="00E602C9"/>
    <w:rsid w:val="00E608B7"/>
    <w:rsid w:val="00E608E1"/>
    <w:rsid w:val="00E60E12"/>
    <w:rsid w:val="00E60F80"/>
    <w:rsid w:val="00E6134E"/>
    <w:rsid w:val="00E613CE"/>
    <w:rsid w:val="00E61DAC"/>
    <w:rsid w:val="00E61F86"/>
    <w:rsid w:val="00E62AF2"/>
    <w:rsid w:val="00E62C6B"/>
    <w:rsid w:val="00E62DDA"/>
    <w:rsid w:val="00E630F7"/>
    <w:rsid w:val="00E63A8C"/>
    <w:rsid w:val="00E63C84"/>
    <w:rsid w:val="00E643D0"/>
    <w:rsid w:val="00E64763"/>
    <w:rsid w:val="00E647DC"/>
    <w:rsid w:val="00E6484F"/>
    <w:rsid w:val="00E64B4F"/>
    <w:rsid w:val="00E65A35"/>
    <w:rsid w:val="00E65E6B"/>
    <w:rsid w:val="00E6640D"/>
    <w:rsid w:val="00E666A1"/>
    <w:rsid w:val="00E6682F"/>
    <w:rsid w:val="00E6713B"/>
    <w:rsid w:val="00E67631"/>
    <w:rsid w:val="00E7041A"/>
    <w:rsid w:val="00E705E5"/>
    <w:rsid w:val="00E70B0C"/>
    <w:rsid w:val="00E71166"/>
    <w:rsid w:val="00E71952"/>
    <w:rsid w:val="00E71DF1"/>
    <w:rsid w:val="00E71EDB"/>
    <w:rsid w:val="00E723D3"/>
    <w:rsid w:val="00E7242A"/>
    <w:rsid w:val="00E72737"/>
    <w:rsid w:val="00E72ABE"/>
    <w:rsid w:val="00E72BCC"/>
    <w:rsid w:val="00E739A7"/>
    <w:rsid w:val="00E73E01"/>
    <w:rsid w:val="00E7449A"/>
    <w:rsid w:val="00E744BD"/>
    <w:rsid w:val="00E74B5A"/>
    <w:rsid w:val="00E7524F"/>
    <w:rsid w:val="00E7556D"/>
    <w:rsid w:val="00E75693"/>
    <w:rsid w:val="00E756FB"/>
    <w:rsid w:val="00E75918"/>
    <w:rsid w:val="00E76141"/>
    <w:rsid w:val="00E76270"/>
    <w:rsid w:val="00E76B45"/>
    <w:rsid w:val="00E77040"/>
    <w:rsid w:val="00E772C4"/>
    <w:rsid w:val="00E77484"/>
    <w:rsid w:val="00E77655"/>
    <w:rsid w:val="00E77B90"/>
    <w:rsid w:val="00E8016D"/>
    <w:rsid w:val="00E810EC"/>
    <w:rsid w:val="00E8112C"/>
    <w:rsid w:val="00E81587"/>
    <w:rsid w:val="00E826C8"/>
    <w:rsid w:val="00E82819"/>
    <w:rsid w:val="00E82EE0"/>
    <w:rsid w:val="00E83280"/>
    <w:rsid w:val="00E832C9"/>
    <w:rsid w:val="00E8344D"/>
    <w:rsid w:val="00E83469"/>
    <w:rsid w:val="00E839A9"/>
    <w:rsid w:val="00E83E6E"/>
    <w:rsid w:val="00E8412F"/>
    <w:rsid w:val="00E843EF"/>
    <w:rsid w:val="00E84661"/>
    <w:rsid w:val="00E84934"/>
    <w:rsid w:val="00E84A69"/>
    <w:rsid w:val="00E84BAF"/>
    <w:rsid w:val="00E853AC"/>
    <w:rsid w:val="00E85483"/>
    <w:rsid w:val="00E86057"/>
    <w:rsid w:val="00E861F7"/>
    <w:rsid w:val="00E864CA"/>
    <w:rsid w:val="00E86647"/>
    <w:rsid w:val="00E86BF7"/>
    <w:rsid w:val="00E87182"/>
    <w:rsid w:val="00E879F0"/>
    <w:rsid w:val="00E87AE6"/>
    <w:rsid w:val="00E87BC7"/>
    <w:rsid w:val="00E90BF3"/>
    <w:rsid w:val="00E91139"/>
    <w:rsid w:val="00E915E1"/>
    <w:rsid w:val="00E919F0"/>
    <w:rsid w:val="00E91BF2"/>
    <w:rsid w:val="00E91DD4"/>
    <w:rsid w:val="00E91DDE"/>
    <w:rsid w:val="00E91E61"/>
    <w:rsid w:val="00E920B8"/>
    <w:rsid w:val="00E924C7"/>
    <w:rsid w:val="00E9281F"/>
    <w:rsid w:val="00E92F0A"/>
    <w:rsid w:val="00E93168"/>
    <w:rsid w:val="00E93402"/>
    <w:rsid w:val="00E9346A"/>
    <w:rsid w:val="00E939E4"/>
    <w:rsid w:val="00E93A7A"/>
    <w:rsid w:val="00E93B3D"/>
    <w:rsid w:val="00E93D80"/>
    <w:rsid w:val="00E94307"/>
    <w:rsid w:val="00E94762"/>
    <w:rsid w:val="00E95754"/>
    <w:rsid w:val="00E959A9"/>
    <w:rsid w:val="00E95A9A"/>
    <w:rsid w:val="00E9627E"/>
    <w:rsid w:val="00E96C84"/>
    <w:rsid w:val="00E96F40"/>
    <w:rsid w:val="00E96FBC"/>
    <w:rsid w:val="00E9702D"/>
    <w:rsid w:val="00E97353"/>
    <w:rsid w:val="00E9738B"/>
    <w:rsid w:val="00E97410"/>
    <w:rsid w:val="00E97507"/>
    <w:rsid w:val="00E97512"/>
    <w:rsid w:val="00EA0281"/>
    <w:rsid w:val="00EA0BD3"/>
    <w:rsid w:val="00EA0BFA"/>
    <w:rsid w:val="00EA0E05"/>
    <w:rsid w:val="00EA0E10"/>
    <w:rsid w:val="00EA0EAB"/>
    <w:rsid w:val="00EA1B4A"/>
    <w:rsid w:val="00EA1CC1"/>
    <w:rsid w:val="00EA2271"/>
    <w:rsid w:val="00EA2585"/>
    <w:rsid w:val="00EA2730"/>
    <w:rsid w:val="00EA3641"/>
    <w:rsid w:val="00EA3D67"/>
    <w:rsid w:val="00EA3DB9"/>
    <w:rsid w:val="00EA475F"/>
    <w:rsid w:val="00EA4A36"/>
    <w:rsid w:val="00EA5029"/>
    <w:rsid w:val="00EA5335"/>
    <w:rsid w:val="00EA630B"/>
    <w:rsid w:val="00EA6E29"/>
    <w:rsid w:val="00EA6FAE"/>
    <w:rsid w:val="00EA7B1C"/>
    <w:rsid w:val="00EA7CE6"/>
    <w:rsid w:val="00EA7E15"/>
    <w:rsid w:val="00EA7E9E"/>
    <w:rsid w:val="00EA7EF5"/>
    <w:rsid w:val="00EA7F1F"/>
    <w:rsid w:val="00EB05DC"/>
    <w:rsid w:val="00EB1705"/>
    <w:rsid w:val="00EB2435"/>
    <w:rsid w:val="00EB269A"/>
    <w:rsid w:val="00EB2814"/>
    <w:rsid w:val="00EB296A"/>
    <w:rsid w:val="00EB3495"/>
    <w:rsid w:val="00EB3828"/>
    <w:rsid w:val="00EB3953"/>
    <w:rsid w:val="00EB3C79"/>
    <w:rsid w:val="00EB3CE0"/>
    <w:rsid w:val="00EB3DB0"/>
    <w:rsid w:val="00EB410B"/>
    <w:rsid w:val="00EB4128"/>
    <w:rsid w:val="00EB4232"/>
    <w:rsid w:val="00EB42C8"/>
    <w:rsid w:val="00EB461B"/>
    <w:rsid w:val="00EB534C"/>
    <w:rsid w:val="00EB55D2"/>
    <w:rsid w:val="00EB56E5"/>
    <w:rsid w:val="00EB5A08"/>
    <w:rsid w:val="00EB5C31"/>
    <w:rsid w:val="00EB6721"/>
    <w:rsid w:val="00EB6BC2"/>
    <w:rsid w:val="00EB6C53"/>
    <w:rsid w:val="00EB720A"/>
    <w:rsid w:val="00EB749C"/>
    <w:rsid w:val="00EB7675"/>
    <w:rsid w:val="00EB7832"/>
    <w:rsid w:val="00EB7B45"/>
    <w:rsid w:val="00EB7C50"/>
    <w:rsid w:val="00EB7E4D"/>
    <w:rsid w:val="00EB7E97"/>
    <w:rsid w:val="00EB7FAA"/>
    <w:rsid w:val="00EB7FE8"/>
    <w:rsid w:val="00EC05B8"/>
    <w:rsid w:val="00EC06DE"/>
    <w:rsid w:val="00EC0E69"/>
    <w:rsid w:val="00EC183D"/>
    <w:rsid w:val="00EC1D83"/>
    <w:rsid w:val="00EC1FE9"/>
    <w:rsid w:val="00EC28CD"/>
    <w:rsid w:val="00EC2915"/>
    <w:rsid w:val="00EC2C50"/>
    <w:rsid w:val="00EC2CD8"/>
    <w:rsid w:val="00EC2E21"/>
    <w:rsid w:val="00EC30FE"/>
    <w:rsid w:val="00EC36DD"/>
    <w:rsid w:val="00EC3E31"/>
    <w:rsid w:val="00EC3E81"/>
    <w:rsid w:val="00EC3EC8"/>
    <w:rsid w:val="00EC44E7"/>
    <w:rsid w:val="00EC4D77"/>
    <w:rsid w:val="00EC4D7B"/>
    <w:rsid w:val="00EC4E2E"/>
    <w:rsid w:val="00EC555C"/>
    <w:rsid w:val="00EC60A1"/>
    <w:rsid w:val="00EC614D"/>
    <w:rsid w:val="00EC6337"/>
    <w:rsid w:val="00EC6D31"/>
    <w:rsid w:val="00EC6D68"/>
    <w:rsid w:val="00EC6D82"/>
    <w:rsid w:val="00EC7183"/>
    <w:rsid w:val="00EC71AB"/>
    <w:rsid w:val="00EC7EE8"/>
    <w:rsid w:val="00ED0DE8"/>
    <w:rsid w:val="00ED0EB9"/>
    <w:rsid w:val="00ED1A21"/>
    <w:rsid w:val="00ED1A39"/>
    <w:rsid w:val="00ED1CD6"/>
    <w:rsid w:val="00ED2FF1"/>
    <w:rsid w:val="00ED3207"/>
    <w:rsid w:val="00ED32E7"/>
    <w:rsid w:val="00ED341E"/>
    <w:rsid w:val="00ED3423"/>
    <w:rsid w:val="00ED352D"/>
    <w:rsid w:val="00ED3534"/>
    <w:rsid w:val="00ED38D7"/>
    <w:rsid w:val="00ED3B7D"/>
    <w:rsid w:val="00ED3DA3"/>
    <w:rsid w:val="00ED40CC"/>
    <w:rsid w:val="00ED4834"/>
    <w:rsid w:val="00ED4DDF"/>
    <w:rsid w:val="00ED4E3C"/>
    <w:rsid w:val="00ED4EEA"/>
    <w:rsid w:val="00ED5122"/>
    <w:rsid w:val="00ED54F7"/>
    <w:rsid w:val="00ED58F2"/>
    <w:rsid w:val="00ED6100"/>
    <w:rsid w:val="00ED6E4E"/>
    <w:rsid w:val="00ED7BAF"/>
    <w:rsid w:val="00EE0318"/>
    <w:rsid w:val="00EE08BC"/>
    <w:rsid w:val="00EE0935"/>
    <w:rsid w:val="00EE09EA"/>
    <w:rsid w:val="00EE0A49"/>
    <w:rsid w:val="00EE15CA"/>
    <w:rsid w:val="00EE18BB"/>
    <w:rsid w:val="00EE1938"/>
    <w:rsid w:val="00EE1CDA"/>
    <w:rsid w:val="00EE24B7"/>
    <w:rsid w:val="00EE286B"/>
    <w:rsid w:val="00EE2AAB"/>
    <w:rsid w:val="00EE3196"/>
    <w:rsid w:val="00EE3203"/>
    <w:rsid w:val="00EE3318"/>
    <w:rsid w:val="00EE33A6"/>
    <w:rsid w:val="00EE3DCB"/>
    <w:rsid w:val="00EE4825"/>
    <w:rsid w:val="00EE5112"/>
    <w:rsid w:val="00EE58F6"/>
    <w:rsid w:val="00EE62B4"/>
    <w:rsid w:val="00EE636D"/>
    <w:rsid w:val="00EE6678"/>
    <w:rsid w:val="00EE66B1"/>
    <w:rsid w:val="00EE687C"/>
    <w:rsid w:val="00EE7047"/>
    <w:rsid w:val="00EE752C"/>
    <w:rsid w:val="00EE7D91"/>
    <w:rsid w:val="00EE7ECE"/>
    <w:rsid w:val="00EE7F2E"/>
    <w:rsid w:val="00EF082A"/>
    <w:rsid w:val="00EF0E50"/>
    <w:rsid w:val="00EF16D6"/>
    <w:rsid w:val="00EF17D0"/>
    <w:rsid w:val="00EF209D"/>
    <w:rsid w:val="00EF20FD"/>
    <w:rsid w:val="00EF2457"/>
    <w:rsid w:val="00EF2786"/>
    <w:rsid w:val="00EF28E6"/>
    <w:rsid w:val="00EF31F0"/>
    <w:rsid w:val="00EF3A28"/>
    <w:rsid w:val="00EF3A3D"/>
    <w:rsid w:val="00EF3A4A"/>
    <w:rsid w:val="00EF3AFE"/>
    <w:rsid w:val="00EF3D41"/>
    <w:rsid w:val="00EF3D43"/>
    <w:rsid w:val="00EF3EE0"/>
    <w:rsid w:val="00EF3FCB"/>
    <w:rsid w:val="00EF493B"/>
    <w:rsid w:val="00EF4F32"/>
    <w:rsid w:val="00EF5326"/>
    <w:rsid w:val="00EF57F7"/>
    <w:rsid w:val="00EF5861"/>
    <w:rsid w:val="00EF61C2"/>
    <w:rsid w:val="00EF6EF5"/>
    <w:rsid w:val="00EF6F6C"/>
    <w:rsid w:val="00EF71EE"/>
    <w:rsid w:val="00EF77C3"/>
    <w:rsid w:val="00EF785E"/>
    <w:rsid w:val="00EF7878"/>
    <w:rsid w:val="00EF7F14"/>
    <w:rsid w:val="00EF7F47"/>
    <w:rsid w:val="00F000F0"/>
    <w:rsid w:val="00F00180"/>
    <w:rsid w:val="00F004AB"/>
    <w:rsid w:val="00F006E4"/>
    <w:rsid w:val="00F00923"/>
    <w:rsid w:val="00F00C9D"/>
    <w:rsid w:val="00F00FF1"/>
    <w:rsid w:val="00F0109A"/>
    <w:rsid w:val="00F01571"/>
    <w:rsid w:val="00F0197D"/>
    <w:rsid w:val="00F01A58"/>
    <w:rsid w:val="00F023A1"/>
    <w:rsid w:val="00F026AE"/>
    <w:rsid w:val="00F027FF"/>
    <w:rsid w:val="00F02B5B"/>
    <w:rsid w:val="00F02CEF"/>
    <w:rsid w:val="00F0301D"/>
    <w:rsid w:val="00F032DF"/>
    <w:rsid w:val="00F0372A"/>
    <w:rsid w:val="00F0388F"/>
    <w:rsid w:val="00F03891"/>
    <w:rsid w:val="00F046FD"/>
    <w:rsid w:val="00F04D51"/>
    <w:rsid w:val="00F05EED"/>
    <w:rsid w:val="00F068D2"/>
    <w:rsid w:val="00F06F02"/>
    <w:rsid w:val="00F07D39"/>
    <w:rsid w:val="00F10437"/>
    <w:rsid w:val="00F10465"/>
    <w:rsid w:val="00F10780"/>
    <w:rsid w:val="00F10864"/>
    <w:rsid w:val="00F1165E"/>
    <w:rsid w:val="00F11CF5"/>
    <w:rsid w:val="00F12909"/>
    <w:rsid w:val="00F12B3D"/>
    <w:rsid w:val="00F13242"/>
    <w:rsid w:val="00F1403E"/>
    <w:rsid w:val="00F140FE"/>
    <w:rsid w:val="00F1415B"/>
    <w:rsid w:val="00F1418D"/>
    <w:rsid w:val="00F14FB4"/>
    <w:rsid w:val="00F15CF3"/>
    <w:rsid w:val="00F165FF"/>
    <w:rsid w:val="00F16BB1"/>
    <w:rsid w:val="00F171EF"/>
    <w:rsid w:val="00F17A8F"/>
    <w:rsid w:val="00F17D56"/>
    <w:rsid w:val="00F20046"/>
    <w:rsid w:val="00F20242"/>
    <w:rsid w:val="00F206FE"/>
    <w:rsid w:val="00F20F5B"/>
    <w:rsid w:val="00F21048"/>
    <w:rsid w:val="00F210AB"/>
    <w:rsid w:val="00F2157F"/>
    <w:rsid w:val="00F21758"/>
    <w:rsid w:val="00F21857"/>
    <w:rsid w:val="00F218EF"/>
    <w:rsid w:val="00F21DC3"/>
    <w:rsid w:val="00F21F61"/>
    <w:rsid w:val="00F22444"/>
    <w:rsid w:val="00F22C96"/>
    <w:rsid w:val="00F22FC1"/>
    <w:rsid w:val="00F2312E"/>
    <w:rsid w:val="00F2357F"/>
    <w:rsid w:val="00F23BD0"/>
    <w:rsid w:val="00F23D7A"/>
    <w:rsid w:val="00F23FCA"/>
    <w:rsid w:val="00F24397"/>
    <w:rsid w:val="00F2456B"/>
    <w:rsid w:val="00F2457D"/>
    <w:rsid w:val="00F24A57"/>
    <w:rsid w:val="00F24A9F"/>
    <w:rsid w:val="00F24D96"/>
    <w:rsid w:val="00F24F4D"/>
    <w:rsid w:val="00F24FA0"/>
    <w:rsid w:val="00F25088"/>
    <w:rsid w:val="00F25157"/>
    <w:rsid w:val="00F25EB4"/>
    <w:rsid w:val="00F25F62"/>
    <w:rsid w:val="00F2617C"/>
    <w:rsid w:val="00F2643A"/>
    <w:rsid w:val="00F26886"/>
    <w:rsid w:val="00F2699C"/>
    <w:rsid w:val="00F27000"/>
    <w:rsid w:val="00F27776"/>
    <w:rsid w:val="00F27E0C"/>
    <w:rsid w:val="00F27F00"/>
    <w:rsid w:val="00F3002F"/>
    <w:rsid w:val="00F30353"/>
    <w:rsid w:val="00F3075E"/>
    <w:rsid w:val="00F308C0"/>
    <w:rsid w:val="00F318E7"/>
    <w:rsid w:val="00F31F17"/>
    <w:rsid w:val="00F3236F"/>
    <w:rsid w:val="00F32374"/>
    <w:rsid w:val="00F32DD1"/>
    <w:rsid w:val="00F32F0E"/>
    <w:rsid w:val="00F32F3E"/>
    <w:rsid w:val="00F3333E"/>
    <w:rsid w:val="00F3383E"/>
    <w:rsid w:val="00F33DF0"/>
    <w:rsid w:val="00F34286"/>
    <w:rsid w:val="00F342E5"/>
    <w:rsid w:val="00F346BC"/>
    <w:rsid w:val="00F348A3"/>
    <w:rsid w:val="00F34F52"/>
    <w:rsid w:val="00F351DE"/>
    <w:rsid w:val="00F3521B"/>
    <w:rsid w:val="00F35561"/>
    <w:rsid w:val="00F35865"/>
    <w:rsid w:val="00F35E92"/>
    <w:rsid w:val="00F360BA"/>
    <w:rsid w:val="00F366CE"/>
    <w:rsid w:val="00F369FF"/>
    <w:rsid w:val="00F377A2"/>
    <w:rsid w:val="00F37922"/>
    <w:rsid w:val="00F37AEF"/>
    <w:rsid w:val="00F37C39"/>
    <w:rsid w:val="00F37DC6"/>
    <w:rsid w:val="00F37E70"/>
    <w:rsid w:val="00F40C88"/>
    <w:rsid w:val="00F413BA"/>
    <w:rsid w:val="00F41576"/>
    <w:rsid w:val="00F41D1F"/>
    <w:rsid w:val="00F426B0"/>
    <w:rsid w:val="00F42910"/>
    <w:rsid w:val="00F42C2B"/>
    <w:rsid w:val="00F44833"/>
    <w:rsid w:val="00F45B82"/>
    <w:rsid w:val="00F46694"/>
    <w:rsid w:val="00F467B0"/>
    <w:rsid w:val="00F4683A"/>
    <w:rsid w:val="00F46E40"/>
    <w:rsid w:val="00F46EAB"/>
    <w:rsid w:val="00F46F8B"/>
    <w:rsid w:val="00F47132"/>
    <w:rsid w:val="00F47728"/>
    <w:rsid w:val="00F47AF4"/>
    <w:rsid w:val="00F47AFE"/>
    <w:rsid w:val="00F47CBA"/>
    <w:rsid w:val="00F47CF5"/>
    <w:rsid w:val="00F50020"/>
    <w:rsid w:val="00F50671"/>
    <w:rsid w:val="00F50849"/>
    <w:rsid w:val="00F513BA"/>
    <w:rsid w:val="00F51447"/>
    <w:rsid w:val="00F514EF"/>
    <w:rsid w:val="00F516F4"/>
    <w:rsid w:val="00F517FC"/>
    <w:rsid w:val="00F5234E"/>
    <w:rsid w:val="00F52756"/>
    <w:rsid w:val="00F528A1"/>
    <w:rsid w:val="00F52A47"/>
    <w:rsid w:val="00F52A4B"/>
    <w:rsid w:val="00F52C6C"/>
    <w:rsid w:val="00F52E16"/>
    <w:rsid w:val="00F52FA8"/>
    <w:rsid w:val="00F532FD"/>
    <w:rsid w:val="00F53854"/>
    <w:rsid w:val="00F538CD"/>
    <w:rsid w:val="00F53AD8"/>
    <w:rsid w:val="00F54070"/>
    <w:rsid w:val="00F54192"/>
    <w:rsid w:val="00F542D8"/>
    <w:rsid w:val="00F54460"/>
    <w:rsid w:val="00F548C8"/>
    <w:rsid w:val="00F54B39"/>
    <w:rsid w:val="00F550B5"/>
    <w:rsid w:val="00F553D1"/>
    <w:rsid w:val="00F55410"/>
    <w:rsid w:val="00F558E3"/>
    <w:rsid w:val="00F55AC5"/>
    <w:rsid w:val="00F564B4"/>
    <w:rsid w:val="00F56D31"/>
    <w:rsid w:val="00F57183"/>
    <w:rsid w:val="00F5765A"/>
    <w:rsid w:val="00F57C72"/>
    <w:rsid w:val="00F57E51"/>
    <w:rsid w:val="00F6021A"/>
    <w:rsid w:val="00F6021F"/>
    <w:rsid w:val="00F60845"/>
    <w:rsid w:val="00F61158"/>
    <w:rsid w:val="00F614D1"/>
    <w:rsid w:val="00F614DB"/>
    <w:rsid w:val="00F6150E"/>
    <w:rsid w:val="00F61564"/>
    <w:rsid w:val="00F61FDE"/>
    <w:rsid w:val="00F62143"/>
    <w:rsid w:val="00F62338"/>
    <w:rsid w:val="00F62377"/>
    <w:rsid w:val="00F62862"/>
    <w:rsid w:val="00F62FE3"/>
    <w:rsid w:val="00F63005"/>
    <w:rsid w:val="00F63289"/>
    <w:rsid w:val="00F639FA"/>
    <w:rsid w:val="00F63A49"/>
    <w:rsid w:val="00F63CD2"/>
    <w:rsid w:val="00F63F71"/>
    <w:rsid w:val="00F6433C"/>
    <w:rsid w:val="00F648A2"/>
    <w:rsid w:val="00F64928"/>
    <w:rsid w:val="00F64966"/>
    <w:rsid w:val="00F65920"/>
    <w:rsid w:val="00F65961"/>
    <w:rsid w:val="00F65E8A"/>
    <w:rsid w:val="00F65E91"/>
    <w:rsid w:val="00F660B8"/>
    <w:rsid w:val="00F6617D"/>
    <w:rsid w:val="00F66709"/>
    <w:rsid w:val="00F669E3"/>
    <w:rsid w:val="00F66AF7"/>
    <w:rsid w:val="00F672EB"/>
    <w:rsid w:val="00F6753C"/>
    <w:rsid w:val="00F67906"/>
    <w:rsid w:val="00F67A85"/>
    <w:rsid w:val="00F67D0D"/>
    <w:rsid w:val="00F71026"/>
    <w:rsid w:val="00F71042"/>
    <w:rsid w:val="00F710A0"/>
    <w:rsid w:val="00F710D9"/>
    <w:rsid w:val="00F71976"/>
    <w:rsid w:val="00F71F79"/>
    <w:rsid w:val="00F7219A"/>
    <w:rsid w:val="00F721A1"/>
    <w:rsid w:val="00F724E3"/>
    <w:rsid w:val="00F727AA"/>
    <w:rsid w:val="00F72C94"/>
    <w:rsid w:val="00F7315E"/>
    <w:rsid w:val="00F737F5"/>
    <w:rsid w:val="00F73F43"/>
    <w:rsid w:val="00F74664"/>
    <w:rsid w:val="00F74791"/>
    <w:rsid w:val="00F747FD"/>
    <w:rsid w:val="00F74A7A"/>
    <w:rsid w:val="00F75057"/>
    <w:rsid w:val="00F75C0B"/>
    <w:rsid w:val="00F763DF"/>
    <w:rsid w:val="00F77028"/>
    <w:rsid w:val="00F7792A"/>
    <w:rsid w:val="00F77A6F"/>
    <w:rsid w:val="00F77C47"/>
    <w:rsid w:val="00F77C4B"/>
    <w:rsid w:val="00F77CFA"/>
    <w:rsid w:val="00F802D3"/>
    <w:rsid w:val="00F80A32"/>
    <w:rsid w:val="00F80D8F"/>
    <w:rsid w:val="00F8116A"/>
    <w:rsid w:val="00F81311"/>
    <w:rsid w:val="00F81625"/>
    <w:rsid w:val="00F81A54"/>
    <w:rsid w:val="00F81B5F"/>
    <w:rsid w:val="00F81E0E"/>
    <w:rsid w:val="00F81F25"/>
    <w:rsid w:val="00F82272"/>
    <w:rsid w:val="00F825FF"/>
    <w:rsid w:val="00F82760"/>
    <w:rsid w:val="00F82956"/>
    <w:rsid w:val="00F82A7D"/>
    <w:rsid w:val="00F82D8E"/>
    <w:rsid w:val="00F83301"/>
    <w:rsid w:val="00F837DD"/>
    <w:rsid w:val="00F849D7"/>
    <w:rsid w:val="00F84A2F"/>
    <w:rsid w:val="00F84BAB"/>
    <w:rsid w:val="00F850EB"/>
    <w:rsid w:val="00F852D1"/>
    <w:rsid w:val="00F855CB"/>
    <w:rsid w:val="00F85744"/>
    <w:rsid w:val="00F86165"/>
    <w:rsid w:val="00F862CA"/>
    <w:rsid w:val="00F863EB"/>
    <w:rsid w:val="00F86B20"/>
    <w:rsid w:val="00F86C43"/>
    <w:rsid w:val="00F86E37"/>
    <w:rsid w:val="00F86F84"/>
    <w:rsid w:val="00F8718E"/>
    <w:rsid w:val="00F87201"/>
    <w:rsid w:val="00F87317"/>
    <w:rsid w:val="00F873E6"/>
    <w:rsid w:val="00F879C6"/>
    <w:rsid w:val="00F87D07"/>
    <w:rsid w:val="00F87D16"/>
    <w:rsid w:val="00F901C2"/>
    <w:rsid w:val="00F902D2"/>
    <w:rsid w:val="00F90391"/>
    <w:rsid w:val="00F9046C"/>
    <w:rsid w:val="00F90BE4"/>
    <w:rsid w:val="00F90C86"/>
    <w:rsid w:val="00F90CDA"/>
    <w:rsid w:val="00F90F6C"/>
    <w:rsid w:val="00F90FD6"/>
    <w:rsid w:val="00F910E4"/>
    <w:rsid w:val="00F915AB"/>
    <w:rsid w:val="00F9174D"/>
    <w:rsid w:val="00F91906"/>
    <w:rsid w:val="00F91932"/>
    <w:rsid w:val="00F91CA2"/>
    <w:rsid w:val="00F91DAC"/>
    <w:rsid w:val="00F92174"/>
    <w:rsid w:val="00F923DB"/>
    <w:rsid w:val="00F92725"/>
    <w:rsid w:val="00F92A1A"/>
    <w:rsid w:val="00F9357A"/>
    <w:rsid w:val="00F9360D"/>
    <w:rsid w:val="00F939E7"/>
    <w:rsid w:val="00F93A3D"/>
    <w:rsid w:val="00F93A5F"/>
    <w:rsid w:val="00F94003"/>
    <w:rsid w:val="00F945E2"/>
    <w:rsid w:val="00F94737"/>
    <w:rsid w:val="00F9495D"/>
    <w:rsid w:val="00F95013"/>
    <w:rsid w:val="00F951BD"/>
    <w:rsid w:val="00F9590D"/>
    <w:rsid w:val="00F9632D"/>
    <w:rsid w:val="00F9635B"/>
    <w:rsid w:val="00F9644F"/>
    <w:rsid w:val="00F96479"/>
    <w:rsid w:val="00F965D9"/>
    <w:rsid w:val="00F96C7A"/>
    <w:rsid w:val="00F96E7C"/>
    <w:rsid w:val="00F975B5"/>
    <w:rsid w:val="00F97666"/>
    <w:rsid w:val="00F97F06"/>
    <w:rsid w:val="00FA0509"/>
    <w:rsid w:val="00FA0E7C"/>
    <w:rsid w:val="00FA17D6"/>
    <w:rsid w:val="00FA1B1E"/>
    <w:rsid w:val="00FA1CBF"/>
    <w:rsid w:val="00FA1D8F"/>
    <w:rsid w:val="00FA1EB0"/>
    <w:rsid w:val="00FA2002"/>
    <w:rsid w:val="00FA2526"/>
    <w:rsid w:val="00FA2663"/>
    <w:rsid w:val="00FA2AB0"/>
    <w:rsid w:val="00FA2EB9"/>
    <w:rsid w:val="00FA33A2"/>
    <w:rsid w:val="00FA3871"/>
    <w:rsid w:val="00FA3C84"/>
    <w:rsid w:val="00FA4131"/>
    <w:rsid w:val="00FA4EDE"/>
    <w:rsid w:val="00FA50E8"/>
    <w:rsid w:val="00FA526F"/>
    <w:rsid w:val="00FA53C1"/>
    <w:rsid w:val="00FA5527"/>
    <w:rsid w:val="00FA558C"/>
    <w:rsid w:val="00FA5710"/>
    <w:rsid w:val="00FA5871"/>
    <w:rsid w:val="00FA589E"/>
    <w:rsid w:val="00FA5909"/>
    <w:rsid w:val="00FA5A96"/>
    <w:rsid w:val="00FA5DF2"/>
    <w:rsid w:val="00FA6225"/>
    <w:rsid w:val="00FA656D"/>
    <w:rsid w:val="00FA65C9"/>
    <w:rsid w:val="00FA6686"/>
    <w:rsid w:val="00FA6A8C"/>
    <w:rsid w:val="00FA6E07"/>
    <w:rsid w:val="00FA7A20"/>
    <w:rsid w:val="00FA7AA6"/>
    <w:rsid w:val="00FA7C04"/>
    <w:rsid w:val="00FB0443"/>
    <w:rsid w:val="00FB0540"/>
    <w:rsid w:val="00FB1309"/>
    <w:rsid w:val="00FB15D5"/>
    <w:rsid w:val="00FB18E8"/>
    <w:rsid w:val="00FB19D8"/>
    <w:rsid w:val="00FB22E5"/>
    <w:rsid w:val="00FB2864"/>
    <w:rsid w:val="00FB2F94"/>
    <w:rsid w:val="00FB3CD6"/>
    <w:rsid w:val="00FB4065"/>
    <w:rsid w:val="00FB4760"/>
    <w:rsid w:val="00FB47B5"/>
    <w:rsid w:val="00FB5201"/>
    <w:rsid w:val="00FB52FD"/>
    <w:rsid w:val="00FB57A7"/>
    <w:rsid w:val="00FB5A6F"/>
    <w:rsid w:val="00FB67CA"/>
    <w:rsid w:val="00FB7284"/>
    <w:rsid w:val="00FB72CB"/>
    <w:rsid w:val="00FB77BB"/>
    <w:rsid w:val="00FB7C38"/>
    <w:rsid w:val="00FC0038"/>
    <w:rsid w:val="00FC0AB4"/>
    <w:rsid w:val="00FC0B11"/>
    <w:rsid w:val="00FC0B9B"/>
    <w:rsid w:val="00FC0E12"/>
    <w:rsid w:val="00FC1190"/>
    <w:rsid w:val="00FC1859"/>
    <w:rsid w:val="00FC1AB5"/>
    <w:rsid w:val="00FC1E51"/>
    <w:rsid w:val="00FC22FE"/>
    <w:rsid w:val="00FC23FA"/>
    <w:rsid w:val="00FC2742"/>
    <w:rsid w:val="00FC2F53"/>
    <w:rsid w:val="00FC338D"/>
    <w:rsid w:val="00FC37F0"/>
    <w:rsid w:val="00FC3B07"/>
    <w:rsid w:val="00FC3BBC"/>
    <w:rsid w:val="00FC3EEB"/>
    <w:rsid w:val="00FC4278"/>
    <w:rsid w:val="00FC4423"/>
    <w:rsid w:val="00FC47CD"/>
    <w:rsid w:val="00FC47D1"/>
    <w:rsid w:val="00FC4CA4"/>
    <w:rsid w:val="00FC4ED1"/>
    <w:rsid w:val="00FC4F3D"/>
    <w:rsid w:val="00FC545C"/>
    <w:rsid w:val="00FC553E"/>
    <w:rsid w:val="00FC65A0"/>
    <w:rsid w:val="00FC6624"/>
    <w:rsid w:val="00FC6B41"/>
    <w:rsid w:val="00FC6D8C"/>
    <w:rsid w:val="00FC6DA4"/>
    <w:rsid w:val="00FC791E"/>
    <w:rsid w:val="00FC7F93"/>
    <w:rsid w:val="00FD10D2"/>
    <w:rsid w:val="00FD1446"/>
    <w:rsid w:val="00FD235B"/>
    <w:rsid w:val="00FD2804"/>
    <w:rsid w:val="00FD282A"/>
    <w:rsid w:val="00FD2A71"/>
    <w:rsid w:val="00FD3124"/>
    <w:rsid w:val="00FD3905"/>
    <w:rsid w:val="00FD4CC0"/>
    <w:rsid w:val="00FD5999"/>
    <w:rsid w:val="00FD6318"/>
    <w:rsid w:val="00FD6A3D"/>
    <w:rsid w:val="00FD6D13"/>
    <w:rsid w:val="00FD6F9D"/>
    <w:rsid w:val="00FD72D9"/>
    <w:rsid w:val="00FD73AE"/>
    <w:rsid w:val="00FD774E"/>
    <w:rsid w:val="00FD7D6B"/>
    <w:rsid w:val="00FE00DC"/>
    <w:rsid w:val="00FE0477"/>
    <w:rsid w:val="00FE0657"/>
    <w:rsid w:val="00FE0E08"/>
    <w:rsid w:val="00FE15F5"/>
    <w:rsid w:val="00FE1728"/>
    <w:rsid w:val="00FE1EC0"/>
    <w:rsid w:val="00FE22FE"/>
    <w:rsid w:val="00FE2B7B"/>
    <w:rsid w:val="00FE3100"/>
    <w:rsid w:val="00FE326E"/>
    <w:rsid w:val="00FE3768"/>
    <w:rsid w:val="00FE3D47"/>
    <w:rsid w:val="00FE42C4"/>
    <w:rsid w:val="00FE47B0"/>
    <w:rsid w:val="00FE5172"/>
    <w:rsid w:val="00FE5236"/>
    <w:rsid w:val="00FE53E8"/>
    <w:rsid w:val="00FE5977"/>
    <w:rsid w:val="00FE5C99"/>
    <w:rsid w:val="00FE5CB2"/>
    <w:rsid w:val="00FE65DB"/>
    <w:rsid w:val="00FE6DEC"/>
    <w:rsid w:val="00FE7266"/>
    <w:rsid w:val="00FE74E2"/>
    <w:rsid w:val="00FE74FC"/>
    <w:rsid w:val="00FE761D"/>
    <w:rsid w:val="00FE76FA"/>
    <w:rsid w:val="00FE7A09"/>
    <w:rsid w:val="00FF00B6"/>
    <w:rsid w:val="00FF01C5"/>
    <w:rsid w:val="00FF0224"/>
    <w:rsid w:val="00FF0289"/>
    <w:rsid w:val="00FF02D6"/>
    <w:rsid w:val="00FF0895"/>
    <w:rsid w:val="00FF0BBB"/>
    <w:rsid w:val="00FF1455"/>
    <w:rsid w:val="00FF1716"/>
    <w:rsid w:val="00FF1920"/>
    <w:rsid w:val="00FF1ACF"/>
    <w:rsid w:val="00FF2644"/>
    <w:rsid w:val="00FF26B7"/>
    <w:rsid w:val="00FF2A88"/>
    <w:rsid w:val="00FF37C5"/>
    <w:rsid w:val="00FF3A12"/>
    <w:rsid w:val="00FF3C0B"/>
    <w:rsid w:val="00FF3CFC"/>
    <w:rsid w:val="00FF40CB"/>
    <w:rsid w:val="00FF43AF"/>
    <w:rsid w:val="00FF48E0"/>
    <w:rsid w:val="00FF5026"/>
    <w:rsid w:val="00FF5173"/>
    <w:rsid w:val="00FF51D0"/>
    <w:rsid w:val="00FF52CC"/>
    <w:rsid w:val="00FF52E3"/>
    <w:rsid w:val="00FF5D1A"/>
    <w:rsid w:val="00FF609A"/>
    <w:rsid w:val="00FF6CF6"/>
    <w:rsid w:val="00FF70CF"/>
    <w:rsid w:val="00FF72A3"/>
    <w:rsid w:val="00FF74BE"/>
    <w:rsid w:val="00FF78DB"/>
    <w:rsid w:val="1575AEB2"/>
    <w:rsid w:val="1702D3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B7F878"/>
  <w15:docId w15:val="{733C47F7-B850-4412-8597-B8E1EC96D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link w:val="TACChar"/>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
    <w:basedOn w:val="Normal"/>
    <w:next w:val="Normal"/>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105EFB"/>
    <w:pPr>
      <w:numPr>
        <w:numId w:val="32"/>
      </w:numPr>
      <w:overflowPunct/>
      <w:autoSpaceDE/>
      <w:autoSpaceDN/>
      <w:adjustRightInd/>
      <w:spacing w:after="120"/>
      <w:textAlignment w:val="auto"/>
    </w:pPr>
    <w:rPr>
      <w:rFonts w:eastAsia="Calibri"/>
      <w:szCs w:val="22"/>
      <w:lang w:val="en-GB"/>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552FF4"/>
    <w:rPr>
      <w:rFonts w:ascii="Times New Roman" w:hAnsi="Times New Roman"/>
      <w:lang w:val="en-GB"/>
    </w:rPr>
  </w:style>
  <w:style w:type="paragraph" w:customStyle="1" w:styleId="LGTdoc">
    <w:name w:val="LGTdoc_본문"/>
    <w:basedOn w:val="Normal"/>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rsid w:val="00AF7F0E"/>
    <w:rPr>
      <w:rFonts w:ascii="Arial" w:hAnsi="Arial"/>
      <w:sz w:val="18"/>
      <w:lang w:val="en-GB" w:eastAsia="en-US"/>
    </w:rPr>
  </w:style>
  <w:style w:type="character" w:customStyle="1" w:styleId="THChar">
    <w:name w:val="TH Char"/>
    <w:link w:val="TH"/>
    <w:rsid w:val="0007162A"/>
    <w:rPr>
      <w:rFonts w:ascii="Arial" w:hAnsi="Arial"/>
      <w:b/>
      <w:lang w:val="en-GB" w:eastAsia="en-US"/>
    </w:rPr>
  </w:style>
  <w:style w:type="character" w:styleId="Hyperlink">
    <w:name w:val="Hyperlink"/>
    <w:rsid w:val="005A18F9"/>
    <w:rPr>
      <w:color w:val="0000FF"/>
      <w:u w:val="single"/>
    </w:rPr>
  </w:style>
  <w:style w:type="character" w:customStyle="1" w:styleId="ListParagraphChar">
    <w:name w:val="List Paragraph Char"/>
    <w:link w:val="ListParagraph"/>
    <w:uiPriority w:val="34"/>
    <w:locked/>
    <w:rsid w:val="00105EFB"/>
    <w:rPr>
      <w:rFonts w:ascii="Times New Roman" w:eastAsia="Calibri" w:hAnsi="Times New Roman"/>
      <w:szCs w:val="22"/>
      <w:lang w:val="en-GB" w:eastAsia="en-US"/>
    </w:rPr>
  </w:style>
  <w:style w:type="paragraph" w:customStyle="1" w:styleId="References">
    <w:name w:val="References"/>
    <w:basedOn w:val="Normal"/>
    <w:rsid w:val="00F00FF1"/>
    <w:pPr>
      <w:numPr>
        <w:numId w:val="3"/>
      </w:numPr>
      <w:overflowPunct/>
      <w:adjustRightInd/>
      <w:snapToGrid w:val="0"/>
      <w:spacing w:after="60"/>
      <w:jc w:val="both"/>
      <w:textAlignment w:val="auto"/>
    </w:pPr>
    <w:rPr>
      <w:szCs w:val="16"/>
    </w:rPr>
  </w:style>
  <w:style w:type="character" w:styleId="FollowedHyperlink">
    <w:name w:val="FollowedHyperlink"/>
    <w:basedOn w:val="DefaultParagraphFont"/>
    <w:semiHidden/>
    <w:unhideWhenUsed/>
    <w:rsid w:val="00DF21AF"/>
    <w:rPr>
      <w:color w:val="954F72" w:themeColor="followedHyperlink"/>
      <w:u w:val="single"/>
    </w:rPr>
  </w:style>
  <w:style w:type="character" w:customStyle="1" w:styleId="FooterChar">
    <w:name w:val="Footer Char"/>
    <w:basedOn w:val="DefaultParagraphFont"/>
    <w:link w:val="Footer"/>
    <w:uiPriority w:val="99"/>
    <w:rsid w:val="0081555D"/>
    <w:rPr>
      <w:rFonts w:ascii="Arial" w:hAnsi="Arial"/>
      <w:b/>
      <w:i/>
      <w:noProof/>
      <w:sz w:val="18"/>
      <w:lang w:eastAsia="en-US"/>
    </w:rPr>
  </w:style>
  <w:style w:type="character" w:customStyle="1" w:styleId="BodyTextChar">
    <w:name w:val="Body Text Char"/>
    <w:aliases w:val="bt Char"/>
    <w:basedOn w:val="DefaultParagraphFont"/>
    <w:link w:val="BodyText"/>
    <w:rsid w:val="00921FC2"/>
    <w:rPr>
      <w:rFonts w:ascii="Times" w:hAnsi="Times"/>
      <w:szCs w:val="24"/>
      <w:lang w:eastAsia="en-US"/>
    </w:rPr>
  </w:style>
  <w:style w:type="table" w:styleId="GridTable4-Accent1">
    <w:name w:val="Grid Table 4 Accent 1"/>
    <w:basedOn w:val="TableNormal"/>
    <w:uiPriority w:val="49"/>
    <w:rsid w:val="00091ADD"/>
    <w:rPr>
      <w:rFonts w:asciiTheme="minorHAnsi" w:eastAsiaTheme="minorHAnsi" w:hAnsiTheme="minorHAnsi" w:cstheme="minorBidi"/>
      <w:sz w:val="22"/>
      <w:szCs w:val="22"/>
      <w:lang w:eastAsia="en-US"/>
    </w:rPr>
    <w:tblPr>
      <w:tblStyleRowBandSize w:val="1"/>
      <w:tblStyleColBandSize w:val="1"/>
      <w:tblInd w:w="0" w:type="nil"/>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TableofFigures">
    <w:name w:val="table of figures"/>
    <w:basedOn w:val="Normal"/>
    <w:next w:val="Normal"/>
    <w:uiPriority w:val="99"/>
    <w:unhideWhenUsed/>
    <w:rsid w:val="00331915"/>
    <w:pPr>
      <w:spacing w:before="120" w:after="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51586094">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23744332">
      <w:bodyDiv w:val="1"/>
      <w:marLeft w:val="0"/>
      <w:marRight w:val="0"/>
      <w:marTop w:val="0"/>
      <w:marBottom w:val="0"/>
      <w:divBdr>
        <w:top w:val="none" w:sz="0" w:space="0" w:color="auto"/>
        <w:left w:val="none" w:sz="0" w:space="0" w:color="auto"/>
        <w:bottom w:val="none" w:sz="0" w:space="0" w:color="auto"/>
        <w:right w:val="none" w:sz="0" w:space="0" w:color="auto"/>
      </w:divBdr>
      <w:divsChild>
        <w:div w:id="260188044">
          <w:marLeft w:val="547"/>
          <w:marRight w:val="0"/>
          <w:marTop w:val="115"/>
          <w:marBottom w:val="0"/>
          <w:divBdr>
            <w:top w:val="none" w:sz="0" w:space="0" w:color="auto"/>
            <w:left w:val="none" w:sz="0" w:space="0" w:color="auto"/>
            <w:bottom w:val="none" w:sz="0" w:space="0" w:color="auto"/>
            <w:right w:val="none" w:sz="0" w:space="0" w:color="auto"/>
          </w:divBdr>
        </w:div>
        <w:div w:id="1273709646">
          <w:marLeft w:val="547"/>
          <w:marRight w:val="0"/>
          <w:marTop w:val="115"/>
          <w:marBottom w:val="0"/>
          <w:divBdr>
            <w:top w:val="none" w:sz="0" w:space="0" w:color="auto"/>
            <w:left w:val="none" w:sz="0" w:space="0" w:color="auto"/>
            <w:bottom w:val="none" w:sz="0" w:space="0" w:color="auto"/>
            <w:right w:val="none" w:sz="0" w:space="0" w:color="auto"/>
          </w:divBdr>
        </w:div>
        <w:div w:id="1912229593">
          <w:marLeft w:val="547"/>
          <w:marRight w:val="0"/>
          <w:marTop w:val="115"/>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2195143">
      <w:bodyDiv w:val="1"/>
      <w:marLeft w:val="0"/>
      <w:marRight w:val="0"/>
      <w:marTop w:val="0"/>
      <w:marBottom w:val="0"/>
      <w:divBdr>
        <w:top w:val="none" w:sz="0" w:space="0" w:color="auto"/>
        <w:left w:val="none" w:sz="0" w:space="0" w:color="auto"/>
        <w:bottom w:val="none" w:sz="0" w:space="0" w:color="auto"/>
        <w:right w:val="none" w:sz="0" w:space="0" w:color="auto"/>
      </w:divBdr>
      <w:divsChild>
        <w:div w:id="6642240">
          <w:marLeft w:val="547"/>
          <w:marRight w:val="0"/>
          <w:marTop w:val="115"/>
          <w:marBottom w:val="0"/>
          <w:divBdr>
            <w:top w:val="none" w:sz="0" w:space="0" w:color="auto"/>
            <w:left w:val="none" w:sz="0" w:space="0" w:color="auto"/>
            <w:bottom w:val="none" w:sz="0" w:space="0" w:color="auto"/>
            <w:right w:val="none" w:sz="0" w:space="0" w:color="auto"/>
          </w:divBdr>
        </w:div>
        <w:div w:id="38170459">
          <w:marLeft w:val="1166"/>
          <w:marRight w:val="0"/>
          <w:marTop w:val="96"/>
          <w:marBottom w:val="0"/>
          <w:divBdr>
            <w:top w:val="none" w:sz="0" w:space="0" w:color="auto"/>
            <w:left w:val="none" w:sz="0" w:space="0" w:color="auto"/>
            <w:bottom w:val="none" w:sz="0" w:space="0" w:color="auto"/>
            <w:right w:val="none" w:sz="0" w:space="0" w:color="auto"/>
          </w:divBdr>
        </w:div>
        <w:div w:id="250166333">
          <w:marLeft w:val="547"/>
          <w:marRight w:val="0"/>
          <w:marTop w:val="115"/>
          <w:marBottom w:val="0"/>
          <w:divBdr>
            <w:top w:val="none" w:sz="0" w:space="0" w:color="auto"/>
            <w:left w:val="none" w:sz="0" w:space="0" w:color="auto"/>
            <w:bottom w:val="none" w:sz="0" w:space="0" w:color="auto"/>
            <w:right w:val="none" w:sz="0" w:space="0" w:color="auto"/>
          </w:divBdr>
        </w:div>
        <w:div w:id="1792742455">
          <w:marLeft w:val="1166"/>
          <w:marRight w:val="0"/>
          <w:marTop w:val="96"/>
          <w:marBottom w:val="0"/>
          <w:divBdr>
            <w:top w:val="none" w:sz="0" w:space="0" w:color="auto"/>
            <w:left w:val="none" w:sz="0" w:space="0" w:color="auto"/>
            <w:bottom w:val="none" w:sz="0" w:space="0" w:color="auto"/>
            <w:right w:val="none" w:sz="0" w:space="0" w:color="auto"/>
          </w:divBdr>
        </w:div>
      </w:divsChild>
    </w:div>
    <w:div w:id="446000809">
      <w:bodyDiv w:val="1"/>
      <w:marLeft w:val="0"/>
      <w:marRight w:val="0"/>
      <w:marTop w:val="0"/>
      <w:marBottom w:val="0"/>
      <w:divBdr>
        <w:top w:val="none" w:sz="0" w:space="0" w:color="auto"/>
        <w:left w:val="none" w:sz="0" w:space="0" w:color="auto"/>
        <w:bottom w:val="none" w:sz="0" w:space="0" w:color="auto"/>
        <w:right w:val="none" w:sz="0" w:space="0" w:color="auto"/>
      </w:divBdr>
    </w:div>
    <w:div w:id="469709370">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89373887">
      <w:bodyDiv w:val="1"/>
      <w:marLeft w:val="0"/>
      <w:marRight w:val="0"/>
      <w:marTop w:val="0"/>
      <w:marBottom w:val="0"/>
      <w:divBdr>
        <w:top w:val="none" w:sz="0" w:space="0" w:color="auto"/>
        <w:left w:val="none" w:sz="0" w:space="0" w:color="auto"/>
        <w:bottom w:val="none" w:sz="0" w:space="0" w:color="auto"/>
        <w:right w:val="none" w:sz="0" w:space="0" w:color="auto"/>
      </w:divBdr>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13232680">
      <w:bodyDiv w:val="1"/>
      <w:marLeft w:val="0"/>
      <w:marRight w:val="0"/>
      <w:marTop w:val="0"/>
      <w:marBottom w:val="0"/>
      <w:divBdr>
        <w:top w:val="none" w:sz="0" w:space="0" w:color="auto"/>
        <w:left w:val="none" w:sz="0" w:space="0" w:color="auto"/>
        <w:bottom w:val="none" w:sz="0" w:space="0" w:color="auto"/>
        <w:right w:val="none" w:sz="0" w:space="0" w:color="auto"/>
      </w:divBdr>
      <w:divsChild>
        <w:div w:id="1590503">
          <w:marLeft w:val="547"/>
          <w:marRight w:val="0"/>
          <w:marTop w:val="106"/>
          <w:marBottom w:val="0"/>
          <w:divBdr>
            <w:top w:val="none" w:sz="0" w:space="0" w:color="auto"/>
            <w:left w:val="none" w:sz="0" w:space="0" w:color="auto"/>
            <w:bottom w:val="none" w:sz="0" w:space="0" w:color="auto"/>
            <w:right w:val="none" w:sz="0" w:space="0" w:color="auto"/>
          </w:divBdr>
        </w:div>
        <w:div w:id="34356746">
          <w:marLeft w:val="1627"/>
          <w:marRight w:val="0"/>
          <w:marTop w:val="82"/>
          <w:marBottom w:val="0"/>
          <w:divBdr>
            <w:top w:val="none" w:sz="0" w:space="0" w:color="auto"/>
            <w:left w:val="none" w:sz="0" w:space="0" w:color="auto"/>
            <w:bottom w:val="none" w:sz="0" w:space="0" w:color="auto"/>
            <w:right w:val="none" w:sz="0" w:space="0" w:color="auto"/>
          </w:divBdr>
        </w:div>
        <w:div w:id="491143851">
          <w:marLeft w:val="1166"/>
          <w:marRight w:val="0"/>
          <w:marTop w:val="91"/>
          <w:marBottom w:val="0"/>
          <w:divBdr>
            <w:top w:val="none" w:sz="0" w:space="0" w:color="auto"/>
            <w:left w:val="none" w:sz="0" w:space="0" w:color="auto"/>
            <w:bottom w:val="none" w:sz="0" w:space="0" w:color="auto"/>
            <w:right w:val="none" w:sz="0" w:space="0" w:color="auto"/>
          </w:divBdr>
        </w:div>
        <w:div w:id="649749645">
          <w:marLeft w:val="547"/>
          <w:marRight w:val="0"/>
          <w:marTop w:val="106"/>
          <w:marBottom w:val="0"/>
          <w:divBdr>
            <w:top w:val="none" w:sz="0" w:space="0" w:color="auto"/>
            <w:left w:val="none" w:sz="0" w:space="0" w:color="auto"/>
            <w:bottom w:val="none" w:sz="0" w:space="0" w:color="auto"/>
            <w:right w:val="none" w:sz="0" w:space="0" w:color="auto"/>
          </w:divBdr>
        </w:div>
        <w:div w:id="838345477">
          <w:marLeft w:val="1166"/>
          <w:marRight w:val="0"/>
          <w:marTop w:val="91"/>
          <w:marBottom w:val="0"/>
          <w:divBdr>
            <w:top w:val="none" w:sz="0" w:space="0" w:color="auto"/>
            <w:left w:val="none" w:sz="0" w:space="0" w:color="auto"/>
            <w:bottom w:val="none" w:sz="0" w:space="0" w:color="auto"/>
            <w:right w:val="none" w:sz="0" w:space="0" w:color="auto"/>
          </w:divBdr>
        </w:div>
        <w:div w:id="874543339">
          <w:marLeft w:val="1166"/>
          <w:marRight w:val="0"/>
          <w:marTop w:val="91"/>
          <w:marBottom w:val="0"/>
          <w:divBdr>
            <w:top w:val="none" w:sz="0" w:space="0" w:color="auto"/>
            <w:left w:val="none" w:sz="0" w:space="0" w:color="auto"/>
            <w:bottom w:val="none" w:sz="0" w:space="0" w:color="auto"/>
            <w:right w:val="none" w:sz="0" w:space="0" w:color="auto"/>
          </w:divBdr>
        </w:div>
        <w:div w:id="1232157434">
          <w:marLeft w:val="1166"/>
          <w:marRight w:val="0"/>
          <w:marTop w:val="91"/>
          <w:marBottom w:val="0"/>
          <w:divBdr>
            <w:top w:val="none" w:sz="0" w:space="0" w:color="auto"/>
            <w:left w:val="none" w:sz="0" w:space="0" w:color="auto"/>
            <w:bottom w:val="none" w:sz="0" w:space="0" w:color="auto"/>
            <w:right w:val="none" w:sz="0" w:space="0" w:color="auto"/>
          </w:divBdr>
        </w:div>
        <w:div w:id="1491483923">
          <w:marLeft w:val="1166"/>
          <w:marRight w:val="0"/>
          <w:marTop w:val="91"/>
          <w:marBottom w:val="0"/>
          <w:divBdr>
            <w:top w:val="none" w:sz="0" w:space="0" w:color="auto"/>
            <w:left w:val="none" w:sz="0" w:space="0" w:color="auto"/>
            <w:bottom w:val="none" w:sz="0" w:space="0" w:color="auto"/>
            <w:right w:val="none" w:sz="0" w:space="0" w:color="auto"/>
          </w:divBdr>
        </w:div>
        <w:div w:id="1604340530">
          <w:marLeft w:val="1166"/>
          <w:marRight w:val="0"/>
          <w:marTop w:val="91"/>
          <w:marBottom w:val="0"/>
          <w:divBdr>
            <w:top w:val="none" w:sz="0" w:space="0" w:color="auto"/>
            <w:left w:val="none" w:sz="0" w:space="0" w:color="auto"/>
            <w:bottom w:val="none" w:sz="0" w:space="0" w:color="auto"/>
            <w:right w:val="none" w:sz="0" w:space="0" w:color="auto"/>
          </w:divBdr>
        </w:div>
        <w:div w:id="1623876187">
          <w:marLeft w:val="1166"/>
          <w:marRight w:val="0"/>
          <w:marTop w:val="91"/>
          <w:marBottom w:val="0"/>
          <w:divBdr>
            <w:top w:val="none" w:sz="0" w:space="0" w:color="auto"/>
            <w:left w:val="none" w:sz="0" w:space="0" w:color="auto"/>
            <w:bottom w:val="none" w:sz="0" w:space="0" w:color="auto"/>
            <w:right w:val="none" w:sz="0" w:space="0" w:color="auto"/>
          </w:divBdr>
        </w:div>
      </w:divsChild>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036030">
      <w:bodyDiv w:val="1"/>
      <w:marLeft w:val="0"/>
      <w:marRight w:val="0"/>
      <w:marTop w:val="0"/>
      <w:marBottom w:val="0"/>
      <w:divBdr>
        <w:top w:val="none" w:sz="0" w:space="0" w:color="auto"/>
        <w:left w:val="none" w:sz="0" w:space="0" w:color="auto"/>
        <w:bottom w:val="none" w:sz="0" w:space="0" w:color="auto"/>
        <w:right w:val="none" w:sz="0" w:space="0" w:color="auto"/>
      </w:divBdr>
      <w:divsChild>
        <w:div w:id="132231">
          <w:marLeft w:val="1166"/>
          <w:marRight w:val="0"/>
          <w:marTop w:val="96"/>
          <w:marBottom w:val="0"/>
          <w:divBdr>
            <w:top w:val="none" w:sz="0" w:space="0" w:color="auto"/>
            <w:left w:val="none" w:sz="0" w:space="0" w:color="auto"/>
            <w:bottom w:val="none" w:sz="0" w:space="0" w:color="auto"/>
            <w:right w:val="none" w:sz="0" w:space="0" w:color="auto"/>
          </w:divBdr>
        </w:div>
        <w:div w:id="465204912">
          <w:marLeft w:val="1166"/>
          <w:marRight w:val="0"/>
          <w:marTop w:val="96"/>
          <w:marBottom w:val="0"/>
          <w:divBdr>
            <w:top w:val="none" w:sz="0" w:space="0" w:color="auto"/>
            <w:left w:val="none" w:sz="0" w:space="0" w:color="auto"/>
            <w:bottom w:val="none" w:sz="0" w:space="0" w:color="auto"/>
            <w:right w:val="none" w:sz="0" w:space="0" w:color="auto"/>
          </w:divBdr>
        </w:div>
        <w:div w:id="537669845">
          <w:marLeft w:val="1627"/>
          <w:marRight w:val="0"/>
          <w:marTop w:val="86"/>
          <w:marBottom w:val="0"/>
          <w:divBdr>
            <w:top w:val="none" w:sz="0" w:space="0" w:color="auto"/>
            <w:left w:val="none" w:sz="0" w:space="0" w:color="auto"/>
            <w:bottom w:val="none" w:sz="0" w:space="0" w:color="auto"/>
            <w:right w:val="none" w:sz="0" w:space="0" w:color="auto"/>
          </w:divBdr>
        </w:div>
        <w:div w:id="681319918">
          <w:marLeft w:val="1627"/>
          <w:marRight w:val="0"/>
          <w:marTop w:val="86"/>
          <w:marBottom w:val="0"/>
          <w:divBdr>
            <w:top w:val="none" w:sz="0" w:space="0" w:color="auto"/>
            <w:left w:val="none" w:sz="0" w:space="0" w:color="auto"/>
            <w:bottom w:val="none" w:sz="0" w:space="0" w:color="auto"/>
            <w:right w:val="none" w:sz="0" w:space="0" w:color="auto"/>
          </w:divBdr>
        </w:div>
        <w:div w:id="1129977730">
          <w:marLeft w:val="1166"/>
          <w:marRight w:val="0"/>
          <w:marTop w:val="96"/>
          <w:marBottom w:val="0"/>
          <w:divBdr>
            <w:top w:val="none" w:sz="0" w:space="0" w:color="auto"/>
            <w:left w:val="none" w:sz="0" w:space="0" w:color="auto"/>
            <w:bottom w:val="none" w:sz="0" w:space="0" w:color="auto"/>
            <w:right w:val="none" w:sz="0" w:space="0" w:color="auto"/>
          </w:divBdr>
        </w:div>
        <w:div w:id="1420634627">
          <w:marLeft w:val="547"/>
          <w:marRight w:val="0"/>
          <w:marTop w:val="115"/>
          <w:marBottom w:val="0"/>
          <w:divBdr>
            <w:top w:val="none" w:sz="0" w:space="0" w:color="auto"/>
            <w:left w:val="none" w:sz="0" w:space="0" w:color="auto"/>
            <w:bottom w:val="none" w:sz="0" w:space="0" w:color="auto"/>
            <w:right w:val="none" w:sz="0" w:space="0" w:color="auto"/>
          </w:divBdr>
        </w:div>
        <w:div w:id="1622957450">
          <w:marLeft w:val="547"/>
          <w:marRight w:val="0"/>
          <w:marTop w:val="115"/>
          <w:marBottom w:val="0"/>
          <w:divBdr>
            <w:top w:val="none" w:sz="0" w:space="0" w:color="auto"/>
            <w:left w:val="none" w:sz="0" w:space="0" w:color="auto"/>
            <w:bottom w:val="none" w:sz="0" w:space="0" w:color="auto"/>
            <w:right w:val="none" w:sz="0" w:space="0" w:color="auto"/>
          </w:divBdr>
        </w:div>
        <w:div w:id="1658918781">
          <w:marLeft w:val="1627"/>
          <w:marRight w:val="0"/>
          <w:marTop w:val="86"/>
          <w:marBottom w:val="0"/>
          <w:divBdr>
            <w:top w:val="none" w:sz="0" w:space="0" w:color="auto"/>
            <w:left w:val="none" w:sz="0" w:space="0" w:color="auto"/>
            <w:bottom w:val="none" w:sz="0" w:space="0" w:color="auto"/>
            <w:right w:val="none" w:sz="0" w:space="0" w:color="auto"/>
          </w:divBdr>
        </w:div>
        <w:div w:id="1671323683">
          <w:marLeft w:val="547"/>
          <w:marRight w:val="0"/>
          <w:marTop w:val="115"/>
          <w:marBottom w:val="0"/>
          <w:divBdr>
            <w:top w:val="none" w:sz="0" w:space="0" w:color="auto"/>
            <w:left w:val="none" w:sz="0" w:space="0" w:color="auto"/>
            <w:bottom w:val="none" w:sz="0" w:space="0" w:color="auto"/>
            <w:right w:val="none" w:sz="0" w:space="0" w:color="auto"/>
          </w:divBdr>
        </w:div>
        <w:div w:id="1702778490">
          <w:marLeft w:val="1166"/>
          <w:marRight w:val="0"/>
          <w:marTop w:val="96"/>
          <w:marBottom w:val="0"/>
          <w:divBdr>
            <w:top w:val="none" w:sz="0" w:space="0" w:color="auto"/>
            <w:left w:val="none" w:sz="0" w:space="0" w:color="auto"/>
            <w:bottom w:val="none" w:sz="0" w:space="0" w:color="auto"/>
            <w:right w:val="none" w:sz="0" w:space="0" w:color="auto"/>
          </w:divBdr>
        </w:div>
        <w:div w:id="1883516388">
          <w:marLeft w:val="1166"/>
          <w:marRight w:val="0"/>
          <w:marTop w:val="96"/>
          <w:marBottom w:val="0"/>
          <w:divBdr>
            <w:top w:val="none" w:sz="0" w:space="0" w:color="auto"/>
            <w:left w:val="none" w:sz="0" w:space="0" w:color="auto"/>
            <w:bottom w:val="none" w:sz="0" w:space="0" w:color="auto"/>
            <w:right w:val="none" w:sz="0" w:space="0" w:color="auto"/>
          </w:divBdr>
        </w:div>
        <w:div w:id="1922132981">
          <w:marLeft w:val="1166"/>
          <w:marRight w:val="0"/>
          <w:marTop w:val="96"/>
          <w:marBottom w:val="0"/>
          <w:divBdr>
            <w:top w:val="none" w:sz="0" w:space="0" w:color="auto"/>
            <w:left w:val="none" w:sz="0" w:space="0" w:color="auto"/>
            <w:bottom w:val="none" w:sz="0" w:space="0" w:color="auto"/>
            <w:right w:val="none" w:sz="0" w:space="0" w:color="auto"/>
          </w:divBdr>
        </w:div>
        <w:div w:id="2076584848">
          <w:marLeft w:val="1166"/>
          <w:marRight w:val="0"/>
          <w:marTop w:val="9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1659464">
      <w:bodyDiv w:val="1"/>
      <w:marLeft w:val="0"/>
      <w:marRight w:val="0"/>
      <w:marTop w:val="0"/>
      <w:marBottom w:val="0"/>
      <w:divBdr>
        <w:top w:val="none" w:sz="0" w:space="0" w:color="auto"/>
        <w:left w:val="none" w:sz="0" w:space="0" w:color="auto"/>
        <w:bottom w:val="none" w:sz="0" w:space="0" w:color="auto"/>
        <w:right w:val="none" w:sz="0" w:space="0" w:color="auto"/>
      </w:divBdr>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4154477">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25406527">
      <w:bodyDiv w:val="1"/>
      <w:marLeft w:val="0"/>
      <w:marRight w:val="0"/>
      <w:marTop w:val="0"/>
      <w:marBottom w:val="0"/>
      <w:divBdr>
        <w:top w:val="none" w:sz="0" w:space="0" w:color="auto"/>
        <w:left w:val="none" w:sz="0" w:space="0" w:color="auto"/>
        <w:bottom w:val="none" w:sz="0" w:space="0" w:color="auto"/>
        <w:right w:val="none" w:sz="0" w:space="0" w:color="auto"/>
      </w:divBdr>
      <w:divsChild>
        <w:div w:id="37780075">
          <w:marLeft w:val="1627"/>
          <w:marRight w:val="0"/>
          <w:marTop w:val="86"/>
          <w:marBottom w:val="0"/>
          <w:divBdr>
            <w:top w:val="none" w:sz="0" w:space="0" w:color="auto"/>
            <w:left w:val="none" w:sz="0" w:space="0" w:color="auto"/>
            <w:bottom w:val="none" w:sz="0" w:space="0" w:color="auto"/>
            <w:right w:val="none" w:sz="0" w:space="0" w:color="auto"/>
          </w:divBdr>
        </w:div>
        <w:div w:id="263806707">
          <w:marLeft w:val="1627"/>
          <w:marRight w:val="0"/>
          <w:marTop w:val="86"/>
          <w:marBottom w:val="0"/>
          <w:divBdr>
            <w:top w:val="none" w:sz="0" w:space="0" w:color="auto"/>
            <w:left w:val="none" w:sz="0" w:space="0" w:color="auto"/>
            <w:bottom w:val="none" w:sz="0" w:space="0" w:color="auto"/>
            <w:right w:val="none" w:sz="0" w:space="0" w:color="auto"/>
          </w:divBdr>
        </w:div>
        <w:div w:id="285087810">
          <w:marLeft w:val="1166"/>
          <w:marRight w:val="0"/>
          <w:marTop w:val="96"/>
          <w:marBottom w:val="0"/>
          <w:divBdr>
            <w:top w:val="none" w:sz="0" w:space="0" w:color="auto"/>
            <w:left w:val="none" w:sz="0" w:space="0" w:color="auto"/>
            <w:bottom w:val="none" w:sz="0" w:space="0" w:color="auto"/>
            <w:right w:val="none" w:sz="0" w:space="0" w:color="auto"/>
          </w:divBdr>
        </w:div>
        <w:div w:id="698968616">
          <w:marLeft w:val="547"/>
          <w:marRight w:val="0"/>
          <w:marTop w:val="115"/>
          <w:marBottom w:val="0"/>
          <w:divBdr>
            <w:top w:val="none" w:sz="0" w:space="0" w:color="auto"/>
            <w:left w:val="none" w:sz="0" w:space="0" w:color="auto"/>
            <w:bottom w:val="none" w:sz="0" w:space="0" w:color="auto"/>
            <w:right w:val="none" w:sz="0" w:space="0" w:color="auto"/>
          </w:divBdr>
        </w:div>
        <w:div w:id="879246299">
          <w:marLeft w:val="1166"/>
          <w:marRight w:val="0"/>
          <w:marTop w:val="96"/>
          <w:marBottom w:val="0"/>
          <w:divBdr>
            <w:top w:val="none" w:sz="0" w:space="0" w:color="auto"/>
            <w:left w:val="none" w:sz="0" w:space="0" w:color="auto"/>
            <w:bottom w:val="none" w:sz="0" w:space="0" w:color="auto"/>
            <w:right w:val="none" w:sz="0" w:space="0" w:color="auto"/>
          </w:divBdr>
        </w:div>
        <w:div w:id="907494353">
          <w:marLeft w:val="1166"/>
          <w:marRight w:val="0"/>
          <w:marTop w:val="96"/>
          <w:marBottom w:val="0"/>
          <w:divBdr>
            <w:top w:val="none" w:sz="0" w:space="0" w:color="auto"/>
            <w:left w:val="none" w:sz="0" w:space="0" w:color="auto"/>
            <w:bottom w:val="none" w:sz="0" w:space="0" w:color="auto"/>
            <w:right w:val="none" w:sz="0" w:space="0" w:color="auto"/>
          </w:divBdr>
        </w:div>
        <w:div w:id="915629483">
          <w:marLeft w:val="1166"/>
          <w:marRight w:val="0"/>
          <w:marTop w:val="96"/>
          <w:marBottom w:val="0"/>
          <w:divBdr>
            <w:top w:val="none" w:sz="0" w:space="0" w:color="auto"/>
            <w:left w:val="none" w:sz="0" w:space="0" w:color="auto"/>
            <w:bottom w:val="none" w:sz="0" w:space="0" w:color="auto"/>
            <w:right w:val="none" w:sz="0" w:space="0" w:color="auto"/>
          </w:divBdr>
        </w:div>
        <w:div w:id="1173837065">
          <w:marLeft w:val="547"/>
          <w:marRight w:val="0"/>
          <w:marTop w:val="115"/>
          <w:marBottom w:val="0"/>
          <w:divBdr>
            <w:top w:val="none" w:sz="0" w:space="0" w:color="auto"/>
            <w:left w:val="none" w:sz="0" w:space="0" w:color="auto"/>
            <w:bottom w:val="none" w:sz="0" w:space="0" w:color="auto"/>
            <w:right w:val="none" w:sz="0" w:space="0" w:color="auto"/>
          </w:divBdr>
        </w:div>
        <w:div w:id="1453405527">
          <w:marLeft w:val="1166"/>
          <w:marRight w:val="0"/>
          <w:marTop w:val="96"/>
          <w:marBottom w:val="0"/>
          <w:divBdr>
            <w:top w:val="none" w:sz="0" w:space="0" w:color="auto"/>
            <w:left w:val="none" w:sz="0" w:space="0" w:color="auto"/>
            <w:bottom w:val="none" w:sz="0" w:space="0" w:color="auto"/>
            <w:right w:val="none" w:sz="0" w:space="0" w:color="auto"/>
          </w:divBdr>
        </w:div>
        <w:div w:id="1662074220">
          <w:marLeft w:val="1166"/>
          <w:marRight w:val="0"/>
          <w:marTop w:val="96"/>
          <w:marBottom w:val="0"/>
          <w:divBdr>
            <w:top w:val="none" w:sz="0" w:space="0" w:color="auto"/>
            <w:left w:val="none" w:sz="0" w:space="0" w:color="auto"/>
            <w:bottom w:val="none" w:sz="0" w:space="0" w:color="auto"/>
            <w:right w:val="none" w:sz="0" w:space="0" w:color="auto"/>
          </w:divBdr>
        </w:div>
        <w:div w:id="1774009913">
          <w:marLeft w:val="547"/>
          <w:marRight w:val="0"/>
          <w:marTop w:val="115"/>
          <w:marBottom w:val="0"/>
          <w:divBdr>
            <w:top w:val="none" w:sz="0" w:space="0" w:color="auto"/>
            <w:left w:val="none" w:sz="0" w:space="0" w:color="auto"/>
            <w:bottom w:val="none" w:sz="0" w:space="0" w:color="auto"/>
            <w:right w:val="none" w:sz="0" w:space="0" w:color="auto"/>
          </w:divBdr>
        </w:div>
        <w:div w:id="1925533757">
          <w:marLeft w:val="1166"/>
          <w:marRight w:val="0"/>
          <w:marTop w:val="96"/>
          <w:marBottom w:val="0"/>
          <w:divBdr>
            <w:top w:val="none" w:sz="0" w:space="0" w:color="auto"/>
            <w:left w:val="none" w:sz="0" w:space="0" w:color="auto"/>
            <w:bottom w:val="none" w:sz="0" w:space="0" w:color="auto"/>
            <w:right w:val="none" w:sz="0" w:space="0" w:color="auto"/>
          </w:divBdr>
        </w:div>
        <w:div w:id="2141224860">
          <w:marLeft w:val="1627"/>
          <w:marRight w:val="0"/>
          <w:marTop w:val="86"/>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787969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41540760">
      <w:bodyDiv w:val="1"/>
      <w:marLeft w:val="0"/>
      <w:marRight w:val="0"/>
      <w:marTop w:val="0"/>
      <w:marBottom w:val="0"/>
      <w:divBdr>
        <w:top w:val="none" w:sz="0" w:space="0" w:color="auto"/>
        <w:left w:val="none" w:sz="0" w:space="0" w:color="auto"/>
        <w:bottom w:val="none" w:sz="0" w:space="0" w:color="auto"/>
        <w:right w:val="none" w:sz="0" w:space="0" w:color="auto"/>
      </w:divBdr>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59179333">
      <w:bodyDiv w:val="1"/>
      <w:marLeft w:val="0"/>
      <w:marRight w:val="0"/>
      <w:marTop w:val="0"/>
      <w:marBottom w:val="0"/>
      <w:divBdr>
        <w:top w:val="none" w:sz="0" w:space="0" w:color="auto"/>
        <w:left w:val="none" w:sz="0" w:space="0" w:color="auto"/>
        <w:bottom w:val="none" w:sz="0" w:space="0" w:color="auto"/>
        <w:right w:val="none" w:sz="0" w:space="0" w:color="auto"/>
      </w:divBdr>
      <w:divsChild>
        <w:div w:id="111482863">
          <w:marLeft w:val="1166"/>
          <w:marRight w:val="0"/>
          <w:marTop w:val="96"/>
          <w:marBottom w:val="0"/>
          <w:divBdr>
            <w:top w:val="none" w:sz="0" w:space="0" w:color="auto"/>
            <w:left w:val="none" w:sz="0" w:space="0" w:color="auto"/>
            <w:bottom w:val="none" w:sz="0" w:space="0" w:color="auto"/>
            <w:right w:val="none" w:sz="0" w:space="0" w:color="auto"/>
          </w:divBdr>
        </w:div>
        <w:div w:id="114761588">
          <w:marLeft w:val="1166"/>
          <w:marRight w:val="0"/>
          <w:marTop w:val="96"/>
          <w:marBottom w:val="0"/>
          <w:divBdr>
            <w:top w:val="none" w:sz="0" w:space="0" w:color="auto"/>
            <w:left w:val="none" w:sz="0" w:space="0" w:color="auto"/>
            <w:bottom w:val="none" w:sz="0" w:space="0" w:color="auto"/>
            <w:right w:val="none" w:sz="0" w:space="0" w:color="auto"/>
          </w:divBdr>
        </w:div>
        <w:div w:id="215121712">
          <w:marLeft w:val="547"/>
          <w:marRight w:val="0"/>
          <w:marTop w:val="115"/>
          <w:marBottom w:val="0"/>
          <w:divBdr>
            <w:top w:val="none" w:sz="0" w:space="0" w:color="auto"/>
            <w:left w:val="none" w:sz="0" w:space="0" w:color="auto"/>
            <w:bottom w:val="none" w:sz="0" w:space="0" w:color="auto"/>
            <w:right w:val="none" w:sz="0" w:space="0" w:color="auto"/>
          </w:divBdr>
        </w:div>
        <w:div w:id="600572695">
          <w:marLeft w:val="1166"/>
          <w:marRight w:val="0"/>
          <w:marTop w:val="96"/>
          <w:marBottom w:val="0"/>
          <w:divBdr>
            <w:top w:val="none" w:sz="0" w:space="0" w:color="auto"/>
            <w:left w:val="none" w:sz="0" w:space="0" w:color="auto"/>
            <w:bottom w:val="none" w:sz="0" w:space="0" w:color="auto"/>
            <w:right w:val="none" w:sz="0" w:space="0" w:color="auto"/>
          </w:divBdr>
        </w:div>
        <w:div w:id="608776937">
          <w:marLeft w:val="547"/>
          <w:marRight w:val="0"/>
          <w:marTop w:val="115"/>
          <w:marBottom w:val="0"/>
          <w:divBdr>
            <w:top w:val="none" w:sz="0" w:space="0" w:color="auto"/>
            <w:left w:val="none" w:sz="0" w:space="0" w:color="auto"/>
            <w:bottom w:val="none" w:sz="0" w:space="0" w:color="auto"/>
            <w:right w:val="none" w:sz="0" w:space="0" w:color="auto"/>
          </w:divBdr>
        </w:div>
        <w:div w:id="697656491">
          <w:marLeft w:val="1627"/>
          <w:marRight w:val="0"/>
          <w:marTop w:val="86"/>
          <w:marBottom w:val="0"/>
          <w:divBdr>
            <w:top w:val="none" w:sz="0" w:space="0" w:color="auto"/>
            <w:left w:val="none" w:sz="0" w:space="0" w:color="auto"/>
            <w:bottom w:val="none" w:sz="0" w:space="0" w:color="auto"/>
            <w:right w:val="none" w:sz="0" w:space="0" w:color="auto"/>
          </w:divBdr>
        </w:div>
        <w:div w:id="770469519">
          <w:marLeft w:val="1627"/>
          <w:marRight w:val="0"/>
          <w:marTop w:val="86"/>
          <w:marBottom w:val="0"/>
          <w:divBdr>
            <w:top w:val="none" w:sz="0" w:space="0" w:color="auto"/>
            <w:left w:val="none" w:sz="0" w:space="0" w:color="auto"/>
            <w:bottom w:val="none" w:sz="0" w:space="0" w:color="auto"/>
            <w:right w:val="none" w:sz="0" w:space="0" w:color="auto"/>
          </w:divBdr>
        </w:div>
        <w:div w:id="858471261">
          <w:marLeft w:val="2074"/>
          <w:marRight w:val="0"/>
          <w:marTop w:val="77"/>
          <w:marBottom w:val="0"/>
          <w:divBdr>
            <w:top w:val="none" w:sz="0" w:space="0" w:color="auto"/>
            <w:left w:val="none" w:sz="0" w:space="0" w:color="auto"/>
            <w:bottom w:val="none" w:sz="0" w:space="0" w:color="auto"/>
            <w:right w:val="none" w:sz="0" w:space="0" w:color="auto"/>
          </w:divBdr>
        </w:div>
        <w:div w:id="1067412729">
          <w:marLeft w:val="1627"/>
          <w:marRight w:val="0"/>
          <w:marTop w:val="86"/>
          <w:marBottom w:val="0"/>
          <w:divBdr>
            <w:top w:val="none" w:sz="0" w:space="0" w:color="auto"/>
            <w:left w:val="none" w:sz="0" w:space="0" w:color="auto"/>
            <w:bottom w:val="none" w:sz="0" w:space="0" w:color="auto"/>
            <w:right w:val="none" w:sz="0" w:space="0" w:color="auto"/>
          </w:divBdr>
        </w:div>
        <w:div w:id="1105199747">
          <w:marLeft w:val="1627"/>
          <w:marRight w:val="0"/>
          <w:marTop w:val="86"/>
          <w:marBottom w:val="0"/>
          <w:divBdr>
            <w:top w:val="none" w:sz="0" w:space="0" w:color="auto"/>
            <w:left w:val="none" w:sz="0" w:space="0" w:color="auto"/>
            <w:bottom w:val="none" w:sz="0" w:space="0" w:color="auto"/>
            <w:right w:val="none" w:sz="0" w:space="0" w:color="auto"/>
          </w:divBdr>
        </w:div>
        <w:div w:id="1185169486">
          <w:marLeft w:val="1627"/>
          <w:marRight w:val="0"/>
          <w:marTop w:val="86"/>
          <w:marBottom w:val="0"/>
          <w:divBdr>
            <w:top w:val="none" w:sz="0" w:space="0" w:color="auto"/>
            <w:left w:val="none" w:sz="0" w:space="0" w:color="auto"/>
            <w:bottom w:val="none" w:sz="0" w:space="0" w:color="auto"/>
            <w:right w:val="none" w:sz="0" w:space="0" w:color="auto"/>
          </w:divBdr>
        </w:div>
        <w:div w:id="1549412935">
          <w:marLeft w:val="1627"/>
          <w:marRight w:val="0"/>
          <w:marTop w:val="86"/>
          <w:marBottom w:val="0"/>
          <w:divBdr>
            <w:top w:val="none" w:sz="0" w:space="0" w:color="auto"/>
            <w:left w:val="none" w:sz="0" w:space="0" w:color="auto"/>
            <w:bottom w:val="none" w:sz="0" w:space="0" w:color="auto"/>
            <w:right w:val="none" w:sz="0" w:space="0" w:color="auto"/>
          </w:divBdr>
        </w:div>
        <w:div w:id="1721979944">
          <w:marLeft w:val="547"/>
          <w:marRight w:val="0"/>
          <w:marTop w:val="115"/>
          <w:marBottom w:val="0"/>
          <w:divBdr>
            <w:top w:val="none" w:sz="0" w:space="0" w:color="auto"/>
            <w:left w:val="none" w:sz="0" w:space="0" w:color="auto"/>
            <w:bottom w:val="none" w:sz="0" w:space="0" w:color="auto"/>
            <w:right w:val="none" w:sz="0" w:space="0" w:color="auto"/>
          </w:divBdr>
        </w:div>
        <w:div w:id="2032755608">
          <w:marLeft w:val="1166"/>
          <w:marRight w:val="0"/>
          <w:marTop w:val="96"/>
          <w:marBottom w:val="0"/>
          <w:divBdr>
            <w:top w:val="none" w:sz="0" w:space="0" w:color="auto"/>
            <w:left w:val="none" w:sz="0" w:space="0" w:color="auto"/>
            <w:bottom w:val="none" w:sz="0" w:space="0" w:color="auto"/>
            <w:right w:val="none" w:sz="0" w:space="0" w:color="auto"/>
          </w:divBdr>
        </w:div>
        <w:div w:id="2065250644">
          <w:marLeft w:val="1627"/>
          <w:marRight w:val="0"/>
          <w:marTop w:val="86"/>
          <w:marBottom w:val="0"/>
          <w:divBdr>
            <w:top w:val="none" w:sz="0" w:space="0" w:color="auto"/>
            <w:left w:val="none" w:sz="0" w:space="0" w:color="auto"/>
            <w:bottom w:val="none" w:sz="0" w:space="0" w:color="auto"/>
            <w:right w:val="none" w:sz="0" w:space="0" w:color="auto"/>
          </w:divBdr>
        </w:div>
      </w:divsChild>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4025120">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5141265">
      <w:bodyDiv w:val="1"/>
      <w:marLeft w:val="0"/>
      <w:marRight w:val="0"/>
      <w:marTop w:val="0"/>
      <w:marBottom w:val="0"/>
      <w:divBdr>
        <w:top w:val="none" w:sz="0" w:space="0" w:color="auto"/>
        <w:left w:val="none" w:sz="0" w:space="0" w:color="auto"/>
        <w:bottom w:val="none" w:sz="0" w:space="0" w:color="auto"/>
        <w:right w:val="none" w:sz="0" w:space="0" w:color="auto"/>
      </w:divBdr>
      <w:divsChild>
        <w:div w:id="309676008">
          <w:marLeft w:val="1627"/>
          <w:marRight w:val="0"/>
          <w:marTop w:val="86"/>
          <w:marBottom w:val="0"/>
          <w:divBdr>
            <w:top w:val="none" w:sz="0" w:space="0" w:color="auto"/>
            <w:left w:val="none" w:sz="0" w:space="0" w:color="auto"/>
            <w:bottom w:val="none" w:sz="0" w:space="0" w:color="auto"/>
            <w:right w:val="none" w:sz="0" w:space="0" w:color="auto"/>
          </w:divBdr>
        </w:div>
        <w:div w:id="595872497">
          <w:marLeft w:val="2074"/>
          <w:marRight w:val="0"/>
          <w:marTop w:val="77"/>
          <w:marBottom w:val="0"/>
          <w:divBdr>
            <w:top w:val="none" w:sz="0" w:space="0" w:color="auto"/>
            <w:left w:val="none" w:sz="0" w:space="0" w:color="auto"/>
            <w:bottom w:val="none" w:sz="0" w:space="0" w:color="auto"/>
            <w:right w:val="none" w:sz="0" w:space="0" w:color="auto"/>
          </w:divBdr>
        </w:div>
        <w:div w:id="826676089">
          <w:marLeft w:val="1166"/>
          <w:marRight w:val="0"/>
          <w:marTop w:val="96"/>
          <w:marBottom w:val="0"/>
          <w:divBdr>
            <w:top w:val="none" w:sz="0" w:space="0" w:color="auto"/>
            <w:left w:val="none" w:sz="0" w:space="0" w:color="auto"/>
            <w:bottom w:val="none" w:sz="0" w:space="0" w:color="auto"/>
            <w:right w:val="none" w:sz="0" w:space="0" w:color="auto"/>
          </w:divBdr>
        </w:div>
        <w:div w:id="1763985709">
          <w:marLeft w:val="2520"/>
          <w:marRight w:val="0"/>
          <w:marTop w:val="67"/>
          <w:marBottom w:val="0"/>
          <w:divBdr>
            <w:top w:val="none" w:sz="0" w:space="0" w:color="auto"/>
            <w:left w:val="none" w:sz="0" w:space="0" w:color="auto"/>
            <w:bottom w:val="none" w:sz="0" w:space="0" w:color="auto"/>
            <w:right w:val="none" w:sz="0" w:space="0" w:color="auto"/>
          </w:divBdr>
        </w:div>
        <w:div w:id="1777871220">
          <w:marLeft w:val="1627"/>
          <w:marRight w:val="0"/>
          <w:marTop w:val="86"/>
          <w:marBottom w:val="0"/>
          <w:divBdr>
            <w:top w:val="none" w:sz="0" w:space="0" w:color="auto"/>
            <w:left w:val="none" w:sz="0" w:space="0" w:color="auto"/>
            <w:bottom w:val="none" w:sz="0" w:space="0" w:color="auto"/>
            <w:right w:val="none" w:sz="0" w:space="0" w:color="auto"/>
          </w:divBdr>
        </w:div>
        <w:div w:id="1790663028">
          <w:marLeft w:val="1627"/>
          <w:marRight w:val="0"/>
          <w:marTop w:val="86"/>
          <w:marBottom w:val="0"/>
          <w:divBdr>
            <w:top w:val="none" w:sz="0" w:space="0" w:color="auto"/>
            <w:left w:val="none" w:sz="0" w:space="0" w:color="auto"/>
            <w:bottom w:val="none" w:sz="0" w:space="0" w:color="auto"/>
            <w:right w:val="none" w:sz="0" w:space="0" w:color="auto"/>
          </w:divBdr>
        </w:div>
        <w:div w:id="1826243472">
          <w:marLeft w:val="1627"/>
          <w:marRight w:val="0"/>
          <w:marTop w:val="86"/>
          <w:marBottom w:val="0"/>
          <w:divBdr>
            <w:top w:val="none" w:sz="0" w:space="0" w:color="auto"/>
            <w:left w:val="none" w:sz="0" w:space="0" w:color="auto"/>
            <w:bottom w:val="none" w:sz="0" w:space="0" w:color="auto"/>
            <w:right w:val="none" w:sz="0" w:space="0" w:color="auto"/>
          </w:divBdr>
        </w:div>
        <w:div w:id="1826896200">
          <w:marLeft w:val="1166"/>
          <w:marRight w:val="0"/>
          <w:marTop w:val="96"/>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3389100">
      <w:bodyDiv w:val="1"/>
      <w:marLeft w:val="0"/>
      <w:marRight w:val="0"/>
      <w:marTop w:val="0"/>
      <w:marBottom w:val="0"/>
      <w:divBdr>
        <w:top w:val="none" w:sz="0" w:space="0" w:color="auto"/>
        <w:left w:val="none" w:sz="0" w:space="0" w:color="auto"/>
        <w:bottom w:val="none" w:sz="0" w:space="0" w:color="auto"/>
        <w:right w:val="none" w:sz="0" w:space="0" w:color="auto"/>
      </w:divBdr>
    </w:div>
    <w:div w:id="1661885031">
      <w:bodyDiv w:val="1"/>
      <w:marLeft w:val="0"/>
      <w:marRight w:val="0"/>
      <w:marTop w:val="0"/>
      <w:marBottom w:val="0"/>
      <w:divBdr>
        <w:top w:val="none" w:sz="0" w:space="0" w:color="auto"/>
        <w:left w:val="none" w:sz="0" w:space="0" w:color="auto"/>
        <w:bottom w:val="none" w:sz="0" w:space="0" w:color="auto"/>
        <w:right w:val="none" w:sz="0" w:space="0" w:color="auto"/>
      </w:divBdr>
      <w:divsChild>
        <w:div w:id="304050051">
          <w:marLeft w:val="547"/>
          <w:marRight w:val="0"/>
          <w:marTop w:val="115"/>
          <w:marBottom w:val="0"/>
          <w:divBdr>
            <w:top w:val="none" w:sz="0" w:space="0" w:color="auto"/>
            <w:left w:val="none" w:sz="0" w:space="0" w:color="auto"/>
            <w:bottom w:val="none" w:sz="0" w:space="0" w:color="auto"/>
            <w:right w:val="none" w:sz="0" w:space="0" w:color="auto"/>
          </w:divBdr>
        </w:div>
        <w:div w:id="608393207">
          <w:marLeft w:val="547"/>
          <w:marRight w:val="0"/>
          <w:marTop w:val="115"/>
          <w:marBottom w:val="0"/>
          <w:divBdr>
            <w:top w:val="none" w:sz="0" w:space="0" w:color="auto"/>
            <w:left w:val="none" w:sz="0" w:space="0" w:color="auto"/>
            <w:bottom w:val="none" w:sz="0" w:space="0" w:color="auto"/>
            <w:right w:val="none" w:sz="0" w:space="0" w:color="auto"/>
          </w:divBdr>
        </w:div>
        <w:div w:id="1227305544">
          <w:marLeft w:val="547"/>
          <w:marRight w:val="0"/>
          <w:marTop w:val="115"/>
          <w:marBottom w:val="0"/>
          <w:divBdr>
            <w:top w:val="none" w:sz="0" w:space="0" w:color="auto"/>
            <w:left w:val="none" w:sz="0" w:space="0" w:color="auto"/>
            <w:bottom w:val="none" w:sz="0" w:space="0" w:color="auto"/>
            <w:right w:val="none" w:sz="0" w:space="0" w:color="auto"/>
          </w:divBdr>
        </w:div>
        <w:div w:id="1307586309">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56897756">
      <w:bodyDiv w:val="1"/>
      <w:marLeft w:val="0"/>
      <w:marRight w:val="0"/>
      <w:marTop w:val="0"/>
      <w:marBottom w:val="0"/>
      <w:divBdr>
        <w:top w:val="none" w:sz="0" w:space="0" w:color="auto"/>
        <w:left w:val="none" w:sz="0" w:space="0" w:color="auto"/>
        <w:bottom w:val="none" w:sz="0" w:space="0" w:color="auto"/>
        <w:right w:val="none" w:sz="0" w:space="0" w:color="auto"/>
      </w:divBdr>
      <w:divsChild>
        <w:div w:id="336428114">
          <w:marLeft w:val="1627"/>
          <w:marRight w:val="0"/>
          <w:marTop w:val="86"/>
          <w:marBottom w:val="0"/>
          <w:divBdr>
            <w:top w:val="none" w:sz="0" w:space="0" w:color="auto"/>
            <w:left w:val="none" w:sz="0" w:space="0" w:color="auto"/>
            <w:bottom w:val="none" w:sz="0" w:space="0" w:color="auto"/>
            <w:right w:val="none" w:sz="0" w:space="0" w:color="auto"/>
          </w:divBdr>
        </w:div>
        <w:div w:id="1020231415">
          <w:marLeft w:val="547"/>
          <w:marRight w:val="0"/>
          <w:marTop w:val="115"/>
          <w:marBottom w:val="0"/>
          <w:divBdr>
            <w:top w:val="none" w:sz="0" w:space="0" w:color="auto"/>
            <w:left w:val="none" w:sz="0" w:space="0" w:color="auto"/>
            <w:bottom w:val="none" w:sz="0" w:space="0" w:color="auto"/>
            <w:right w:val="none" w:sz="0" w:space="0" w:color="auto"/>
          </w:divBdr>
        </w:div>
        <w:div w:id="1144472049">
          <w:marLeft w:val="547"/>
          <w:marRight w:val="0"/>
          <w:marTop w:val="115"/>
          <w:marBottom w:val="0"/>
          <w:divBdr>
            <w:top w:val="none" w:sz="0" w:space="0" w:color="auto"/>
            <w:left w:val="none" w:sz="0" w:space="0" w:color="auto"/>
            <w:bottom w:val="none" w:sz="0" w:space="0" w:color="auto"/>
            <w:right w:val="none" w:sz="0" w:space="0" w:color="auto"/>
          </w:divBdr>
        </w:div>
        <w:div w:id="1446120043">
          <w:marLeft w:val="1166"/>
          <w:marRight w:val="0"/>
          <w:marTop w:val="96"/>
          <w:marBottom w:val="0"/>
          <w:divBdr>
            <w:top w:val="none" w:sz="0" w:space="0" w:color="auto"/>
            <w:left w:val="none" w:sz="0" w:space="0" w:color="auto"/>
            <w:bottom w:val="none" w:sz="0" w:space="0" w:color="auto"/>
            <w:right w:val="none" w:sz="0" w:space="0" w:color="auto"/>
          </w:divBdr>
        </w:div>
        <w:div w:id="1577785138">
          <w:marLeft w:val="1627"/>
          <w:marRight w:val="0"/>
          <w:marTop w:val="86"/>
          <w:marBottom w:val="0"/>
          <w:divBdr>
            <w:top w:val="none" w:sz="0" w:space="0" w:color="auto"/>
            <w:left w:val="none" w:sz="0" w:space="0" w:color="auto"/>
            <w:bottom w:val="none" w:sz="0" w:space="0" w:color="auto"/>
            <w:right w:val="none" w:sz="0" w:space="0" w:color="auto"/>
          </w:divBdr>
        </w:div>
        <w:div w:id="1623421205">
          <w:marLeft w:val="1166"/>
          <w:marRight w:val="0"/>
          <w:marTop w:val="96"/>
          <w:marBottom w:val="0"/>
          <w:divBdr>
            <w:top w:val="none" w:sz="0" w:space="0" w:color="auto"/>
            <w:left w:val="none" w:sz="0" w:space="0" w:color="auto"/>
            <w:bottom w:val="none" w:sz="0" w:space="0" w:color="auto"/>
            <w:right w:val="none" w:sz="0" w:space="0" w:color="auto"/>
          </w:divBdr>
        </w:div>
        <w:div w:id="1691490057">
          <w:marLeft w:val="1627"/>
          <w:marRight w:val="0"/>
          <w:marTop w:val="86"/>
          <w:marBottom w:val="0"/>
          <w:divBdr>
            <w:top w:val="none" w:sz="0" w:space="0" w:color="auto"/>
            <w:left w:val="none" w:sz="0" w:space="0" w:color="auto"/>
            <w:bottom w:val="none" w:sz="0" w:space="0" w:color="auto"/>
            <w:right w:val="none" w:sz="0" w:space="0" w:color="auto"/>
          </w:divBdr>
        </w:div>
        <w:div w:id="1871140935">
          <w:marLeft w:val="1627"/>
          <w:marRight w:val="0"/>
          <w:marTop w:val="86"/>
          <w:marBottom w:val="0"/>
          <w:divBdr>
            <w:top w:val="none" w:sz="0" w:space="0" w:color="auto"/>
            <w:left w:val="none" w:sz="0" w:space="0" w:color="auto"/>
            <w:bottom w:val="none" w:sz="0" w:space="0" w:color="auto"/>
            <w:right w:val="none" w:sz="0" w:space="0" w:color="auto"/>
          </w:divBdr>
        </w:div>
      </w:divsChild>
    </w:div>
    <w:div w:id="179798536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42701467">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7092206">
      <w:bodyDiv w:val="1"/>
      <w:marLeft w:val="0"/>
      <w:marRight w:val="0"/>
      <w:marTop w:val="0"/>
      <w:marBottom w:val="0"/>
      <w:divBdr>
        <w:top w:val="none" w:sz="0" w:space="0" w:color="auto"/>
        <w:left w:val="none" w:sz="0" w:space="0" w:color="auto"/>
        <w:bottom w:val="none" w:sz="0" w:space="0" w:color="auto"/>
        <w:right w:val="none" w:sz="0" w:space="0" w:color="auto"/>
      </w:divBdr>
      <w:divsChild>
        <w:div w:id="905385171">
          <w:marLeft w:val="547"/>
          <w:marRight w:val="0"/>
          <w:marTop w:val="115"/>
          <w:marBottom w:val="0"/>
          <w:divBdr>
            <w:top w:val="none" w:sz="0" w:space="0" w:color="auto"/>
            <w:left w:val="none" w:sz="0" w:space="0" w:color="auto"/>
            <w:bottom w:val="none" w:sz="0" w:space="0" w:color="auto"/>
            <w:right w:val="none" w:sz="0" w:space="0" w:color="auto"/>
          </w:divBdr>
        </w:div>
        <w:div w:id="1070495616">
          <w:marLeft w:val="547"/>
          <w:marRight w:val="0"/>
          <w:marTop w:val="115"/>
          <w:marBottom w:val="0"/>
          <w:divBdr>
            <w:top w:val="none" w:sz="0" w:space="0" w:color="auto"/>
            <w:left w:val="none" w:sz="0" w:space="0" w:color="auto"/>
            <w:bottom w:val="none" w:sz="0" w:space="0" w:color="auto"/>
            <w:right w:val="none" w:sz="0" w:space="0" w:color="auto"/>
          </w:divBdr>
        </w:div>
        <w:div w:id="2050182183">
          <w:marLeft w:val="547"/>
          <w:marRight w:val="0"/>
          <w:marTop w:val="115"/>
          <w:marBottom w:val="0"/>
          <w:divBdr>
            <w:top w:val="none" w:sz="0" w:space="0" w:color="auto"/>
            <w:left w:val="none" w:sz="0" w:space="0" w:color="auto"/>
            <w:bottom w:val="none" w:sz="0" w:space="0" w:color="auto"/>
            <w:right w:val="none" w:sz="0" w:space="0" w:color="auto"/>
          </w:divBdr>
        </w:div>
      </w:divsChild>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3.emf"/><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theme" Target="theme/theme1.xml"/><Relationship Id="rId7"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oleObject" Target="embeddings/oleObject9.bin"/><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HR33RHYHUWRF-4-6156</_dlc_DocId>
    <_dlc_DocIdUrl xmlns="c06861ca-3f08-4d07-bff7-bb15bac121f4">
      <Url>https://projects.qualcomm.com/sites/pentari/_layouts/15/DocIdRedir.aspx?ID=HR33RHYHUWRF-4-6156</Url>
      <Description>HR33RHYHUWRF-4-6156</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156B33-FE54-4BF7-8206-606715473F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C2FF60E-EDDE-47F2-966E-A40547D413B7}">
  <ds:schemaRefs>
    <ds:schemaRef ds:uri="http://schemas.microsoft.com/sharepoint/v3/contenttype/forms"/>
  </ds:schemaRefs>
</ds:datastoreItem>
</file>

<file path=customXml/itemProps3.xml><?xml version="1.0" encoding="utf-8"?>
<ds:datastoreItem xmlns:ds="http://schemas.openxmlformats.org/officeDocument/2006/customXml" ds:itemID="{DE437376-A7B6-47B7-A9FE-9D6C62534131}">
  <ds:schemaRefs>
    <ds:schemaRef ds:uri="http://schemas.microsoft.com/office/2006/metadata/properties"/>
    <ds:schemaRef ds:uri="http://schemas.microsoft.com/office/infopath/2007/PartnerControls"/>
    <ds:schemaRef ds:uri="c06861ca-3f08-4d07-bff7-bb15bac121f4"/>
  </ds:schemaRefs>
</ds:datastoreItem>
</file>

<file path=customXml/itemProps4.xml><?xml version="1.0" encoding="utf-8"?>
<ds:datastoreItem xmlns:ds="http://schemas.openxmlformats.org/officeDocument/2006/customXml" ds:itemID="{04BF5348-08CE-46A2-B6C7-D667930F0DC1}">
  <ds:schemaRefs>
    <ds:schemaRef ds:uri="http://schemas.microsoft.com/sharepoint/events"/>
  </ds:schemaRefs>
</ds:datastoreItem>
</file>

<file path=customXml/itemProps5.xml><?xml version="1.0" encoding="utf-8"?>
<ds:datastoreItem xmlns:ds="http://schemas.openxmlformats.org/officeDocument/2006/customXml" ds:itemID="{1330D8BD-DF5E-4F65-BF53-3D8C72E1A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7</TotalTime>
  <Pages>14</Pages>
  <Words>5935</Words>
  <Characters>33834</Characters>
  <Application>Microsoft Office Word</Application>
  <DocSecurity>0</DocSecurity>
  <Lines>281</Lines>
  <Paragraphs>79</Paragraphs>
  <ScaleCrop>false</ScaleCrop>
  <HeadingPairs>
    <vt:vector size="2" baseType="variant">
      <vt:variant>
        <vt:lpstr>Title</vt:lpstr>
      </vt:variant>
      <vt:variant>
        <vt:i4>1</vt:i4>
      </vt:variant>
    </vt:vector>
  </HeadingPairs>
  <TitlesOfParts>
    <vt:vector size="1" baseType="lpstr">
      <vt:lpstr>L1 Broadcast Control Channel</vt:lpstr>
    </vt:vector>
  </TitlesOfParts>
  <Company>Qualcomm Inc.</Company>
  <LinksUpToDate>false</LinksUpToDate>
  <CharactersWithSpaces>39690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L1 Broadcast Control Channel</dc:title>
  <dc:subject/>
  <dc:creator>Qualcomm Inc.</dc:creator>
  <cp:keywords/>
  <dc:description/>
  <cp:lastModifiedBy>Peter Ang</cp:lastModifiedBy>
  <cp:revision>7</cp:revision>
  <cp:lastPrinted>2017-11-18T03:01:00Z</cp:lastPrinted>
  <dcterms:created xsi:type="dcterms:W3CDTF">2017-11-18T06:19:00Z</dcterms:created>
  <dcterms:modified xsi:type="dcterms:W3CDTF">2017-11-18T06:47:00Z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fa7a24c7-0c2a-40e4-ac8d-eb243bf4d18b</vt:lpwstr>
  </property>
</Properties>
</file>